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78D5D">
      <w:pPr>
        <w:pStyle w:val="2"/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  <w:bookmarkStart w:id="0" w:name="_Hlk77867063"/>
      <w:r>
        <w:rPr>
          <w:rFonts w:hint="eastAsia"/>
          <w:lang w:val="en-US" w:eastAsia="zh-CN"/>
        </w:rPr>
        <w:t>一、招标清单：</w:t>
      </w:r>
    </w:p>
    <w:p w14:paraId="01BB13CE">
      <w:pPr>
        <w:pStyle w:val="2"/>
        <w:numPr>
          <w:ilvl w:val="0"/>
          <w:numId w:val="0"/>
        </w:numPr>
        <w:bidi w:val="0"/>
        <w:ind w:leftChars="0"/>
        <w:rPr>
          <w:rFonts w:hint="default"/>
          <w:lang w:val="en-US" w:eastAsia="zh-CN"/>
        </w:rPr>
      </w:pPr>
    </w:p>
    <w:p w14:paraId="7CC9A0AB">
      <w:pPr>
        <w:rPr>
          <w:rFonts w:hint="default"/>
          <w:lang w:val="en-US" w:eastAsia="zh-CN"/>
        </w:rPr>
      </w:pPr>
    </w:p>
    <w:p w14:paraId="6B286719">
      <w:pPr>
        <w:rPr>
          <w:rFonts w:hint="default"/>
          <w:lang w:val="en-US" w:eastAsia="zh-CN"/>
        </w:rPr>
      </w:pPr>
    </w:p>
    <w:p w14:paraId="54D3D01D">
      <w:pPr>
        <w:rPr>
          <w:rFonts w:hint="default"/>
          <w:lang w:val="en-US" w:eastAsia="zh-CN"/>
        </w:rPr>
      </w:pPr>
    </w:p>
    <w:p w14:paraId="3C16F524">
      <w:pPr>
        <w:rPr>
          <w:rFonts w:hint="default"/>
          <w:lang w:val="en-US" w:eastAsia="zh-CN"/>
        </w:rPr>
      </w:pPr>
    </w:p>
    <w:p w14:paraId="1E75AC65">
      <w:pPr>
        <w:rPr>
          <w:rFonts w:hint="default"/>
          <w:lang w:val="en-US" w:eastAsia="zh-CN"/>
        </w:rPr>
      </w:pPr>
    </w:p>
    <w:p w14:paraId="0156E89D">
      <w:pPr>
        <w:rPr>
          <w:rFonts w:hint="default"/>
          <w:lang w:val="en-US" w:eastAsia="zh-CN"/>
        </w:rPr>
      </w:pPr>
    </w:p>
    <w:p w14:paraId="0DDB5A67">
      <w:pPr>
        <w:rPr>
          <w:rFonts w:hint="default"/>
          <w:lang w:val="en-US" w:eastAsia="zh-CN"/>
        </w:rPr>
      </w:pPr>
    </w:p>
    <w:tbl>
      <w:tblPr>
        <w:tblStyle w:val="15"/>
        <w:tblpPr w:leftFromText="180" w:rightFromText="180" w:vertAnchor="page" w:horzAnchor="page" w:tblpX="1785" w:tblpY="2480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0"/>
        <w:gridCol w:w="1523"/>
        <w:gridCol w:w="865"/>
        <w:gridCol w:w="796"/>
        <w:gridCol w:w="1443"/>
        <w:gridCol w:w="2312"/>
      </w:tblGrid>
      <w:tr w14:paraId="5916A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49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19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52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5B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技术要求</w:t>
            </w:r>
          </w:p>
        </w:tc>
        <w:tc>
          <w:tcPr>
            <w:tcW w:w="86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51E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9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60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44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458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231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AAD7F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4637D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</w:trPr>
        <w:tc>
          <w:tcPr>
            <w:tcW w:w="14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8BE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UPS主机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81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三进单出</w:t>
            </w:r>
          </w:p>
          <w:p w14:paraId="7AE58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容量</w:t>
            </w:r>
            <w:r>
              <w:rPr>
                <w:rFonts w:hint="default" w:ascii="Arial" w:hAnsi="Arial" w:eastAsia="宋体" w:cs="Arial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10KVA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F9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A9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9C9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维谛、科华，山特、艾特网能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E21A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带监控卡，需接入机房动环系统中。（或提供一套监控软件）</w:t>
            </w:r>
          </w:p>
        </w:tc>
      </w:tr>
      <w:tr w14:paraId="51231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14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78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UPS主机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D3EB1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三进单出</w:t>
            </w:r>
          </w:p>
          <w:p w14:paraId="0F6CC0A0">
            <w:pPr>
              <w:numPr>
                <w:ilvl w:val="0"/>
                <w:numId w:val="0"/>
              </w:numPr>
              <w:spacing w:line="360" w:lineRule="auto"/>
              <w:rPr>
                <w:rFonts w:ascii="Times New Roman" w:hAnsi="Times New Roman" w:eastAsia="宋体" w:cs="Times New Roman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容量</w:t>
            </w:r>
            <w:r>
              <w:rPr>
                <w:rFonts w:hint="default" w:ascii="Arial" w:hAnsi="Arial" w:eastAsia="宋体" w:cs="Arial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b/>
                <w:bCs/>
                <w:highlight w:val="none"/>
                <w:lang w:val="en-US" w:eastAsia="zh-CN"/>
              </w:rPr>
              <w:t>15KVA</w:t>
            </w:r>
          </w:p>
          <w:p w14:paraId="15D53C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3DA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59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7EE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维谛、科华，山特、艾特网能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D4A4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带监控卡，需接入机房动环系统中。（或提供一套监控报警软件）</w:t>
            </w:r>
          </w:p>
        </w:tc>
      </w:tr>
      <w:tr w14:paraId="12914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14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B4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动环接入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32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UPS主机需接入到主机房动环系统中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AA5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94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E6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与目前在使用的保持一致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3440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UPS状态可在动环系统中查看，当有报警时可通过动环系统通知。（或提供一套监控报警软件）</w:t>
            </w:r>
          </w:p>
        </w:tc>
      </w:tr>
      <w:tr w14:paraId="439D5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429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5D8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备注:供货时需提供原厂供货函，UPS主机质保5年。提供全新输入电缆等辅材，用以更换老旧线缆</w:t>
            </w:r>
          </w:p>
        </w:tc>
      </w:tr>
      <w:bookmarkEnd w:id="0"/>
    </w:tbl>
    <w:p w14:paraId="20115907">
      <w:pPr>
        <w:pStyle w:val="2"/>
        <w:bidi w:val="0"/>
      </w:pPr>
      <w:bookmarkStart w:id="1" w:name="_Toc56685316"/>
      <w:r>
        <w:rPr>
          <w:rFonts w:hint="eastAsia"/>
        </w:rPr>
        <w:t>UPS系统商务要求：</w:t>
      </w:r>
    </w:p>
    <w:p w14:paraId="61FAE79A">
      <w:pPr>
        <w:pStyle w:val="18"/>
        <w:numPr>
          <w:ilvl w:val="0"/>
          <w:numId w:val="2"/>
        </w:numPr>
        <w:tabs>
          <w:tab w:val="left" w:pos="993"/>
        </w:tabs>
        <w:ind w:left="420" w:firstLine="0" w:firstLineChars="0"/>
        <w:jc w:val="left"/>
        <w:rPr>
          <w:rFonts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推荐品牌：</w:t>
      </w:r>
      <w:r>
        <w:rPr>
          <w:rFonts w:hint="eastAsia" w:asciiTheme="minorEastAsia" w:hAnsiTheme="minorEastAsia" w:eastAsiaTheme="minorEastAsia"/>
          <w:sz w:val="21"/>
          <w:lang w:val="en-US" w:eastAsia="zh-CN"/>
        </w:rPr>
        <w:t>维谛、科华，山特、艾特网能</w:t>
      </w:r>
      <w:r>
        <w:rPr>
          <w:rFonts w:hint="eastAsia" w:asciiTheme="minorEastAsia" w:hAnsiTheme="minorEastAsia" w:eastAsiaTheme="minorEastAsia"/>
          <w:sz w:val="21"/>
        </w:rPr>
        <w:t>（等同或优于以上列品牌）。</w:t>
      </w:r>
    </w:p>
    <w:p w14:paraId="29022B2A">
      <w:pPr>
        <w:pStyle w:val="18"/>
        <w:numPr>
          <w:ilvl w:val="0"/>
          <w:numId w:val="2"/>
        </w:numPr>
        <w:tabs>
          <w:tab w:val="left" w:pos="993"/>
        </w:tabs>
        <w:ind w:left="420" w:firstLine="0" w:firstLineChars="0"/>
        <w:jc w:val="left"/>
        <w:rPr>
          <w:rFonts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参与投标品牌厂商针对本项目的项目授权书。</w:t>
      </w:r>
    </w:p>
    <w:p w14:paraId="2E43F5EB">
      <w:pPr>
        <w:pStyle w:val="18"/>
        <w:numPr>
          <w:ilvl w:val="0"/>
          <w:numId w:val="2"/>
        </w:numPr>
        <w:tabs>
          <w:tab w:val="left" w:pos="993"/>
        </w:tabs>
        <w:ind w:left="420" w:firstLine="0" w:firstLineChars="0"/>
        <w:jc w:val="left"/>
        <w:rPr>
          <w:rFonts w:asciiTheme="minorEastAsia" w:hAnsiTheme="minorEastAsia" w:eastAsiaTheme="minorEastAsia"/>
          <w:sz w:val="21"/>
        </w:rPr>
      </w:pPr>
      <w:r>
        <w:rPr>
          <w:rFonts w:asciiTheme="minorEastAsia" w:hAnsiTheme="minorEastAsia" w:eastAsiaTheme="minorEastAsia"/>
          <w:sz w:val="21"/>
        </w:rPr>
        <w:t>参与投标品牌厂商</w:t>
      </w:r>
      <w:r>
        <w:rPr>
          <w:rFonts w:hint="eastAsia" w:asciiTheme="minorEastAsia" w:hAnsiTheme="minorEastAsia" w:eastAsiaTheme="minorEastAsia"/>
          <w:sz w:val="21"/>
        </w:rPr>
        <w:t>的售后服务承诺书，UPS</w:t>
      </w:r>
      <w:r>
        <w:rPr>
          <w:rFonts w:hint="eastAsia" w:asciiTheme="minorEastAsia" w:hAnsiTheme="minorEastAsia" w:eastAsiaTheme="minorEastAsia"/>
          <w:sz w:val="21"/>
          <w:lang w:val="en-US" w:eastAsia="zh-CN"/>
        </w:rPr>
        <w:t>主机</w:t>
      </w:r>
      <w:r>
        <w:rPr>
          <w:rFonts w:hint="eastAsia" w:asciiTheme="minorEastAsia" w:hAnsiTheme="minorEastAsia" w:eastAsiaTheme="minorEastAsia"/>
          <w:sz w:val="21"/>
        </w:rPr>
        <w:t>质保</w:t>
      </w:r>
      <w:r>
        <w:rPr>
          <w:rFonts w:hint="eastAsia" w:asciiTheme="minorEastAsia" w:hAnsiTheme="minorEastAsia" w:eastAsiaTheme="minorEastAsia"/>
          <w:sz w:val="21"/>
          <w:lang w:val="en-US" w:eastAsia="zh-CN"/>
        </w:rPr>
        <w:t>五</w:t>
      </w:r>
      <w:r>
        <w:rPr>
          <w:rFonts w:hint="eastAsia" w:asciiTheme="minorEastAsia" w:hAnsiTheme="minorEastAsia" w:eastAsiaTheme="minorEastAsia"/>
          <w:sz w:val="21"/>
        </w:rPr>
        <w:t>年（含）以上。</w:t>
      </w:r>
    </w:p>
    <w:p w14:paraId="6D5E1B20">
      <w:pPr>
        <w:pStyle w:val="18"/>
        <w:numPr>
          <w:ilvl w:val="0"/>
          <w:numId w:val="2"/>
        </w:numPr>
        <w:tabs>
          <w:tab w:val="left" w:pos="993"/>
        </w:tabs>
        <w:ind w:left="420" w:firstLine="0" w:firstLineChars="0"/>
        <w:jc w:val="left"/>
        <w:rPr>
          <w:rFonts w:asciiTheme="minorEastAsia" w:hAnsiTheme="minorEastAsia" w:eastAsiaTheme="minorEastAsia"/>
          <w:sz w:val="21"/>
        </w:rPr>
      </w:pPr>
      <w:r>
        <w:rPr>
          <w:rFonts w:asciiTheme="minorEastAsia" w:hAnsiTheme="minorEastAsia" w:eastAsiaTheme="minorEastAsia"/>
          <w:sz w:val="21"/>
        </w:rPr>
        <w:t>参与投标品牌厂商</w:t>
      </w:r>
      <w:r>
        <w:rPr>
          <w:rFonts w:hint="eastAsia" w:asciiTheme="minorEastAsia" w:hAnsiTheme="minorEastAsia" w:eastAsiaTheme="minorEastAsia"/>
          <w:sz w:val="21"/>
        </w:rPr>
        <w:t>的本地售后服务机构证明。</w:t>
      </w:r>
    </w:p>
    <w:p w14:paraId="61BE1850">
      <w:pPr>
        <w:tabs>
          <w:tab w:val="left" w:pos="993"/>
          <w:tab w:val="left" w:pos="1134"/>
        </w:tabs>
        <w:ind w:firstLineChars="0"/>
        <w:jc w:val="left"/>
        <w:rPr>
          <w:rFonts w:asciiTheme="minorEastAsia" w:hAnsiTheme="minorEastAsia" w:eastAsiaTheme="minorEastAsia"/>
          <w:sz w:val="21"/>
          <w:highlight w:val="yellow"/>
        </w:rPr>
      </w:pPr>
    </w:p>
    <w:p w14:paraId="392117BF">
      <w:pPr>
        <w:tabs>
          <w:tab w:val="left" w:pos="993"/>
          <w:tab w:val="left" w:pos="1134"/>
        </w:tabs>
        <w:ind w:left="420" w:firstLine="0" w:firstLineChars="0"/>
        <w:jc w:val="left"/>
        <w:rPr>
          <w:rFonts w:asciiTheme="minorEastAsia" w:hAnsiTheme="minorEastAsia" w:eastAsiaTheme="minorEastAsia"/>
          <w:sz w:val="21"/>
        </w:rPr>
      </w:pPr>
    </w:p>
    <w:p w14:paraId="167BED0E">
      <w:pPr>
        <w:pStyle w:val="18"/>
        <w:tabs>
          <w:tab w:val="left" w:pos="993"/>
        </w:tabs>
        <w:ind w:left="420" w:firstLine="0" w:firstLineChars="0"/>
        <w:jc w:val="left"/>
        <w:rPr>
          <w:rFonts w:asciiTheme="minorEastAsia" w:hAnsiTheme="minorEastAsia" w:eastAsiaTheme="minorEastAsia"/>
          <w:sz w:val="21"/>
          <w:highlight w:val="yellow"/>
        </w:rPr>
      </w:pPr>
    </w:p>
    <w:p w14:paraId="53CECE07">
      <w:pPr>
        <w:widowControl/>
        <w:adjustRightInd/>
        <w:snapToGrid/>
        <w:spacing w:line="240" w:lineRule="auto"/>
        <w:ind w:firstLine="0" w:firstLineChars="0"/>
        <w:jc w:val="left"/>
        <w:rPr>
          <w:rFonts w:hAnsi="宋体" w:cstheme="majorBidi"/>
          <w:b/>
          <w:bCs/>
          <w:szCs w:val="32"/>
        </w:rPr>
      </w:pPr>
      <w:r>
        <w:rPr>
          <w:rFonts w:hAnsi="宋体"/>
        </w:rPr>
        <w:br w:type="page"/>
      </w:r>
    </w:p>
    <w:p w14:paraId="5E85697C">
      <w:pPr>
        <w:pStyle w:val="2"/>
        <w:bidi w:val="0"/>
      </w:pPr>
      <w:r>
        <w:rPr>
          <w:rFonts w:hint="eastAsia"/>
        </w:rPr>
        <w:t>UPS技术要求：</w:t>
      </w:r>
    </w:p>
    <w:p w14:paraId="67015739">
      <w:pPr>
        <w:pStyle w:val="18"/>
        <w:numPr>
          <w:ilvl w:val="0"/>
          <w:numId w:val="3"/>
        </w:numPr>
        <w:ind w:firstLineChars="0"/>
        <w:jc w:val="lef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UPS主机容量需为10kVA和15KVA，三进单出在线式产品，380/400/415VAC，50/ 60Hz电网体系，提供最佳的供电质量与负载保护。</w:t>
      </w:r>
    </w:p>
    <w:p w14:paraId="6DD37684">
      <w:pPr>
        <w:pStyle w:val="18"/>
        <w:numPr>
          <w:ilvl w:val="0"/>
          <w:numId w:val="3"/>
        </w:numPr>
        <w:ind w:firstLineChars="0"/>
        <w:jc w:val="lef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输入电压范围:190～499Vac(线电压)。</w:t>
      </w:r>
    </w:p>
    <w:p w14:paraId="57FC388F">
      <w:pPr>
        <w:pStyle w:val="18"/>
        <w:numPr>
          <w:ilvl w:val="0"/>
          <w:numId w:val="3"/>
        </w:numPr>
        <w:ind w:firstLineChars="0"/>
        <w:jc w:val="lef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UPS电源制式支持：三进单出、单进单出设置模式。</w:t>
      </w:r>
    </w:p>
    <w:p w14:paraId="240B21A8">
      <w:pPr>
        <w:pStyle w:val="18"/>
        <w:numPr>
          <w:ilvl w:val="0"/>
          <w:numId w:val="3"/>
        </w:numPr>
        <w:ind w:firstLineChars="0"/>
        <w:jc w:val="lef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输出电压可设置 200VAC/208VAC/ 220VAC/230VAC/240VAC。</w:t>
      </w:r>
    </w:p>
    <w:p w14:paraId="315AEA92">
      <w:pPr>
        <w:pStyle w:val="18"/>
        <w:numPr>
          <w:ilvl w:val="0"/>
          <w:numId w:val="3"/>
        </w:numPr>
        <w:ind w:firstLineChars="0"/>
        <w:jc w:val="lef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超强的负载适应性，超强的过载与短路能力。</w:t>
      </w:r>
    </w:p>
    <w:p w14:paraId="784E548D">
      <w:pPr>
        <w:pStyle w:val="18"/>
        <w:numPr>
          <w:ilvl w:val="0"/>
          <w:numId w:val="3"/>
        </w:numPr>
        <w:ind w:firstLineChars="0"/>
        <w:jc w:val="lef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超宽输入电压与频率范围，适应恶劣电网环境，适应各种</w:t>
      </w:r>
      <w:bookmarkStart w:id="2" w:name="_GoBack"/>
      <w:bookmarkEnd w:id="2"/>
      <w:r>
        <w:rPr>
          <w:rFonts w:hint="eastAsia" w:asciiTheme="minorEastAsia" w:hAnsiTheme="minorEastAsia" w:eastAsiaTheme="minorEastAsia"/>
          <w:sz w:val="21"/>
        </w:rPr>
        <w:t>燃油发电机接入。</w:t>
      </w:r>
    </w:p>
    <w:p w14:paraId="7BA59B42">
      <w:pPr>
        <w:pStyle w:val="18"/>
        <w:numPr>
          <w:ilvl w:val="0"/>
          <w:numId w:val="3"/>
        </w:numPr>
        <w:ind w:firstLineChars="0"/>
        <w:jc w:val="lef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提供浪涌保护功能，同时做了电磁传导和电磁辐射处理，减少UPS对电网中其它敏感设备的影响。</w:t>
      </w:r>
    </w:p>
    <w:p w14:paraId="154AED63">
      <w:pPr>
        <w:pStyle w:val="18"/>
        <w:numPr>
          <w:ilvl w:val="0"/>
          <w:numId w:val="3"/>
        </w:numPr>
        <w:ind w:firstLineChars="0"/>
        <w:jc w:val="lef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UPS输出功率因数不低于0.9（1kVA≥0.9kW），以便与负载良好匹配。</w:t>
      </w:r>
    </w:p>
    <w:p w14:paraId="3B54D3FB">
      <w:pPr>
        <w:pStyle w:val="18"/>
        <w:numPr>
          <w:ilvl w:val="0"/>
          <w:numId w:val="3"/>
        </w:numPr>
        <w:ind w:firstLineChars="0"/>
        <w:jc w:val="lef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所投UPS最高效率应不低于96%（50%负载）。</w:t>
      </w:r>
    </w:p>
    <w:p w14:paraId="48B513BC">
      <w:pPr>
        <w:pStyle w:val="18"/>
        <w:numPr>
          <w:ilvl w:val="0"/>
          <w:numId w:val="3"/>
        </w:numPr>
        <w:ind w:firstLineChars="0"/>
        <w:jc w:val="lef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为保障UPS的可用性稳定性，降低功率器件承压和老化速度，逆变器应采用成熟可靠的功率变换技术（如三电平、多电平或其他等效优化拓扑），可适应各种半波负载。</w:t>
      </w:r>
    </w:p>
    <w:p w14:paraId="1BF5C237">
      <w:pPr>
        <w:pStyle w:val="18"/>
        <w:numPr>
          <w:ilvl w:val="0"/>
          <w:numId w:val="3"/>
        </w:numPr>
        <w:ind w:firstLineChars="0"/>
        <w:jc w:val="lef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所有电路板均需要采用三防工艺。</w:t>
      </w:r>
    </w:p>
    <w:p w14:paraId="6DDE8984">
      <w:pPr>
        <w:pStyle w:val="18"/>
        <w:numPr>
          <w:ilvl w:val="0"/>
          <w:numId w:val="3"/>
        </w:numPr>
        <w:ind w:firstLineChars="0"/>
        <w:jc w:val="lef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电池组节数可在一定范围内灵活设置（如16～20节或更宽范围），便于未来遭遇个别电池故障需要维护、更换时，可灵活调节电池节数的需要。</w:t>
      </w:r>
    </w:p>
    <w:p w14:paraId="719FC1AF">
      <w:pPr>
        <w:pStyle w:val="18"/>
        <w:numPr>
          <w:ilvl w:val="0"/>
          <w:numId w:val="3"/>
        </w:numPr>
        <w:ind w:firstLineChars="0"/>
        <w:jc w:val="lef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标配输入空开、旁路空开，机器内部标配电池保险丝。</w:t>
      </w:r>
    </w:p>
    <w:p w14:paraId="393EA742">
      <w:pPr>
        <w:pStyle w:val="18"/>
        <w:numPr>
          <w:ilvl w:val="0"/>
          <w:numId w:val="3"/>
        </w:numPr>
        <w:ind w:firstLineChars="0"/>
        <w:jc w:val="left"/>
        <w:rPr>
          <w:rFonts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误操作保护功能，如果UPS工作在逆变状态下，此时如果误将手动旁路闭合或静态旁路短路，将会有反灌电流冲击逆变器损坏逆变器，UPS要求在这种情况下保护逆变器不受损坏。</w:t>
      </w:r>
    </w:p>
    <w:p w14:paraId="5BF7A4D9">
      <w:pPr>
        <w:pStyle w:val="18"/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/>
          <w:sz w:val="21"/>
          <w:highlight w:val="yellow"/>
        </w:rPr>
      </w:pPr>
    </w:p>
    <w:p w14:paraId="4CC41D78">
      <w:pPr>
        <w:pStyle w:val="18"/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/>
          <w:sz w:val="21"/>
          <w:highlight w:val="yellow"/>
        </w:rPr>
      </w:pPr>
    </w:p>
    <w:p w14:paraId="15F96908">
      <w:pPr>
        <w:pStyle w:val="18"/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/>
          <w:sz w:val="21"/>
          <w:highlight w:val="yellow"/>
        </w:rPr>
      </w:pPr>
    </w:p>
    <w:bookmarkEnd w:id="1"/>
    <w:p w14:paraId="3B69DDD9"/>
    <w:p w14:paraId="6EC8AC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汉仪典雅体简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B1B583"/>
    <w:multiLevelType w:val="multilevel"/>
    <w:tmpl w:val="DBB1B583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10E00555"/>
    <w:multiLevelType w:val="multilevel"/>
    <w:tmpl w:val="10E00555"/>
    <w:lvl w:ilvl="0" w:tentative="0">
      <w:start w:val="1"/>
      <w:numFmt w:val="decimal"/>
      <w:lvlText w:val="（%1）"/>
      <w:lvlJc w:val="left"/>
      <w:pPr>
        <w:ind w:left="794" w:hanging="369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265" w:hanging="420"/>
      </w:pPr>
    </w:lvl>
    <w:lvl w:ilvl="2" w:tentative="0">
      <w:start w:val="1"/>
      <w:numFmt w:val="lowerRoman"/>
      <w:lvlText w:val="%3."/>
      <w:lvlJc w:val="right"/>
      <w:pPr>
        <w:ind w:left="1685" w:hanging="420"/>
      </w:pPr>
    </w:lvl>
    <w:lvl w:ilvl="3" w:tentative="0">
      <w:start w:val="1"/>
      <w:numFmt w:val="decimal"/>
      <w:lvlText w:val="%4."/>
      <w:lvlJc w:val="left"/>
      <w:pPr>
        <w:ind w:left="2105" w:hanging="420"/>
      </w:pPr>
    </w:lvl>
    <w:lvl w:ilvl="4" w:tentative="0">
      <w:start w:val="1"/>
      <w:numFmt w:val="lowerLetter"/>
      <w:lvlText w:val="%5)"/>
      <w:lvlJc w:val="left"/>
      <w:pPr>
        <w:ind w:left="2525" w:hanging="420"/>
      </w:pPr>
    </w:lvl>
    <w:lvl w:ilvl="5" w:tentative="0">
      <w:start w:val="1"/>
      <w:numFmt w:val="lowerRoman"/>
      <w:lvlText w:val="%6."/>
      <w:lvlJc w:val="right"/>
      <w:pPr>
        <w:ind w:left="2945" w:hanging="420"/>
      </w:pPr>
    </w:lvl>
    <w:lvl w:ilvl="6" w:tentative="0">
      <w:start w:val="1"/>
      <w:numFmt w:val="decimal"/>
      <w:lvlText w:val="%7."/>
      <w:lvlJc w:val="left"/>
      <w:pPr>
        <w:ind w:left="3365" w:hanging="420"/>
      </w:pPr>
    </w:lvl>
    <w:lvl w:ilvl="7" w:tentative="0">
      <w:start w:val="1"/>
      <w:numFmt w:val="lowerLetter"/>
      <w:lvlText w:val="%8)"/>
      <w:lvlJc w:val="left"/>
      <w:pPr>
        <w:ind w:left="3785" w:hanging="420"/>
      </w:pPr>
    </w:lvl>
    <w:lvl w:ilvl="8" w:tentative="0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6EFC18E8"/>
    <w:multiLevelType w:val="multilevel"/>
    <w:tmpl w:val="6EFC18E8"/>
    <w:lvl w:ilvl="0" w:tentative="0">
      <w:start w:val="1"/>
      <w:numFmt w:val="decimal"/>
      <w:suff w:val="space"/>
      <w:lvlText w:val="（%1）"/>
      <w:lvlJc w:val="left"/>
      <w:pPr>
        <w:ind w:left="420" w:firstLine="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B15DDE"/>
    <w:rsid w:val="01382C19"/>
    <w:rsid w:val="050974A4"/>
    <w:rsid w:val="06B15DDE"/>
    <w:rsid w:val="0B5804AB"/>
    <w:rsid w:val="17000993"/>
    <w:rsid w:val="17733908"/>
    <w:rsid w:val="180E1663"/>
    <w:rsid w:val="18C47C07"/>
    <w:rsid w:val="1AE66541"/>
    <w:rsid w:val="1C7A6BC9"/>
    <w:rsid w:val="1F6B71B8"/>
    <w:rsid w:val="1FA97357"/>
    <w:rsid w:val="235C5246"/>
    <w:rsid w:val="268B5354"/>
    <w:rsid w:val="29973106"/>
    <w:rsid w:val="2DAD500A"/>
    <w:rsid w:val="2EB96C02"/>
    <w:rsid w:val="335A3165"/>
    <w:rsid w:val="357E34A3"/>
    <w:rsid w:val="37587C82"/>
    <w:rsid w:val="375F3AC1"/>
    <w:rsid w:val="376E4198"/>
    <w:rsid w:val="38E6109E"/>
    <w:rsid w:val="39051B3D"/>
    <w:rsid w:val="39784268"/>
    <w:rsid w:val="3D193147"/>
    <w:rsid w:val="45DE5DF3"/>
    <w:rsid w:val="45E011C0"/>
    <w:rsid w:val="4636797D"/>
    <w:rsid w:val="4D5A4BBC"/>
    <w:rsid w:val="4DBC5080"/>
    <w:rsid w:val="577B087A"/>
    <w:rsid w:val="57DE33EE"/>
    <w:rsid w:val="58EA7BA6"/>
    <w:rsid w:val="5A8D2920"/>
    <w:rsid w:val="5BEB3132"/>
    <w:rsid w:val="5C052672"/>
    <w:rsid w:val="5EDB472C"/>
    <w:rsid w:val="63B24E53"/>
    <w:rsid w:val="68E5021B"/>
    <w:rsid w:val="68EE5F36"/>
    <w:rsid w:val="74594730"/>
    <w:rsid w:val="77D935E6"/>
    <w:rsid w:val="7BFD0AE2"/>
    <w:rsid w:val="7D3A040B"/>
    <w:rsid w:val="7EAA376F"/>
    <w:rsid w:val="7F9A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240" w:after="240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numPr>
        <w:ilvl w:val="0"/>
        <w:numId w:val="1"/>
      </w:num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kern w:val="44"/>
      <w:sz w:val="30"/>
      <w:szCs w:val="30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firstLine="400"/>
      <w:outlineLvl w:val="2"/>
    </w:pPr>
    <w:rPr>
      <w:sz w:val="24"/>
    </w:rPr>
  </w:style>
  <w:style w:type="paragraph" w:styleId="5">
    <w:name w:val="heading 4"/>
    <w:basedOn w:val="1"/>
    <w:semiHidden/>
    <w:unhideWhenUsed/>
    <w:qFormat/>
    <w:uiPriority w:val="0"/>
    <w:pPr>
      <w:numPr>
        <w:ilvl w:val="3"/>
        <w:numId w:val="1"/>
      </w:numPr>
      <w:tabs>
        <w:tab w:val="left" w:pos="420"/>
      </w:tabs>
      <w:spacing w:before="58"/>
      <w:ind w:left="0" w:firstLine="402"/>
      <w:outlineLvl w:val="3"/>
    </w:pPr>
    <w:rPr>
      <w:rFonts w:ascii="仿宋" w:hAnsi="仿宋" w:eastAsia="仿宋" w:cs="仿宋"/>
      <w:b/>
      <w:bCs/>
      <w:sz w:val="30"/>
      <w:szCs w:val="30"/>
      <w:lang w:val="zh-CN" w:bidi="zh-CN"/>
    </w:rPr>
  </w:style>
  <w:style w:type="paragraph" w:styleId="6">
    <w:name w:val="heading 5"/>
    <w:basedOn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ind w:left="0" w:firstLine="402"/>
      <w:outlineLvl w:val="4"/>
    </w:pPr>
    <w:rPr>
      <w:rFonts w:ascii="Times New Roman" w:hAnsi="Times New Roman" w:eastAsia="宋体" w:cs="Times New Roman"/>
      <w:b/>
      <w:bCs/>
      <w:kern w:val="2"/>
      <w:sz w:val="24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qFormat/>
    <w:uiPriority w:val="0"/>
    <w:pPr>
      <w:jc w:val="left"/>
    </w:pPr>
    <w:rPr>
      <w:rFonts w:ascii="Times New Roman" w:hAnsi="Times New Roman" w:eastAsia="宋体" w:cs="Times New Roman"/>
      <w:szCs w:val="20"/>
      <w:lang w:val="zh-CN" w:eastAsia="zh-CN"/>
    </w:rPr>
  </w:style>
  <w:style w:type="paragraph" w:styleId="12">
    <w:name w:val="Body Text"/>
    <w:basedOn w:val="1"/>
    <w:qFormat/>
    <w:uiPriority w:val="0"/>
    <w:pPr>
      <w:adjustRightInd w:val="0"/>
      <w:snapToGrid w:val="0"/>
      <w:spacing w:after="120"/>
      <w:ind w:left="480" w:leftChars="200" w:firstLine="723" w:firstLineChars="200"/>
    </w:pPr>
    <w:rPr>
      <w:rFonts w:ascii="Times New Roman" w:hAnsi="Times New Roman" w:eastAsia="宋体" w:cs="Times New Roman"/>
      <w:kern w:val="2"/>
      <w:sz w:val="21"/>
      <w:szCs w:val="24"/>
    </w:rPr>
  </w:style>
  <w:style w:type="paragraph" w:styleId="13">
    <w:name w:val="footer"/>
    <w:basedOn w:val="1"/>
    <w:unhideWhenUsed/>
    <w:qFormat/>
    <w:uiPriority w:val="99"/>
    <w:pPr>
      <w:tabs>
        <w:tab w:val="center" w:pos="4153"/>
        <w:tab w:val="right" w:pos="8306"/>
      </w:tabs>
      <w:adjustRightInd/>
      <w:spacing w:line="240" w:lineRule="auto"/>
      <w:ind w:firstLine="0" w:firstLineChars="0"/>
      <w:jc w:val="left"/>
    </w:pPr>
    <w:rPr>
      <w:rFonts w:eastAsia="微软雅黑" w:asciiTheme="minorHAnsi" w:hAnsiTheme="minorHAnsi" w:cstheme="minorBidi"/>
      <w:sz w:val="18"/>
      <w:szCs w:val="18"/>
    </w:rPr>
  </w:style>
  <w:style w:type="paragraph" w:styleId="1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pacing w:line="240" w:lineRule="auto"/>
      <w:ind w:firstLine="0" w:firstLineChars="0"/>
      <w:jc w:val="center"/>
    </w:pPr>
    <w:rPr>
      <w:rFonts w:eastAsia="微软雅黑" w:asciiTheme="minorHAnsi" w:hAnsiTheme="minorHAnsi" w:cstheme="minorBidi"/>
      <w:sz w:val="18"/>
      <w:szCs w:val="18"/>
    </w:rPr>
  </w:style>
  <w:style w:type="character" w:styleId="17">
    <w:name w:val="annotation reference"/>
    <w:basedOn w:val="16"/>
    <w:qFormat/>
    <w:uiPriority w:val="0"/>
    <w:rPr>
      <w:sz w:val="21"/>
      <w:szCs w:val="21"/>
    </w:rPr>
  </w:style>
  <w:style w:type="paragraph" w:styleId="18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customStyle="1" w:styleId="19">
    <w:name w:val="表格文字"/>
    <w:basedOn w:val="1"/>
    <w:qFormat/>
    <w:uiPriority w:val="0"/>
    <w:pPr>
      <w:spacing w:before="25" w:after="25"/>
      <w:jc w:val="left"/>
    </w:pPr>
    <w:rPr>
      <w:rFonts w:ascii="Times New Roman" w:hAnsi="Times New Roman" w:eastAsia="宋体" w:cs="Times New Roman"/>
      <w:bCs/>
      <w:spacing w:val="10"/>
      <w:kern w:val="0"/>
      <w:sz w:val="20"/>
      <w:szCs w:val="20"/>
      <w:lang w:val="ru-RU" w:eastAsia="ru-RU"/>
    </w:rPr>
  </w:style>
  <w:style w:type="character" w:customStyle="1" w:styleId="20">
    <w:name w:val="font31"/>
    <w:basedOn w:val="16"/>
    <w:qFormat/>
    <w:uiPriority w:val="0"/>
    <w:rPr>
      <w:rFonts w:ascii="Arial" w:hAnsi="Arial" w:cs="Arial"/>
      <w:color w:val="000000"/>
      <w:sz w:val="21"/>
      <w:szCs w:val="21"/>
      <w:u w:val="none"/>
    </w:rPr>
  </w:style>
  <w:style w:type="character" w:customStyle="1" w:styleId="21">
    <w:name w:val="font11"/>
    <w:basedOn w:val="1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22">
    <w:name w:val="font41"/>
    <w:basedOn w:val="16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843</Words>
  <Characters>968</Characters>
  <Lines>0</Lines>
  <Paragraphs>0</Paragraphs>
  <TotalTime>12</TotalTime>
  <ScaleCrop>false</ScaleCrop>
  <LinksUpToDate>false</LinksUpToDate>
  <CharactersWithSpaces>971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2025-02-26T04:34:00Z</dcterms:created>
  <dc:creator>润超比尔  陶东宁</dc:creator>
  <cp:lastModifiedBy>冯宇良</cp:lastModifiedBy>
  <dcterms:modified xsi:type="dcterms:W3CDTF">2026-08-19T00:49:46Z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57DAC026E606485198C6A677EA4D06BD_13</vt:lpwstr>
  </property>
  <property fmtid="{D5CDD505-2E9C-101B-9397-08002B2CF9AE}" pid="4" name="KSOTemplateDocerSaveRecord">
    <vt:lpwstr>eyJoZGlkIjoiYjA3ZTljMGUyMWRmYWE2NWY4NTc4ZDg1NGFiOWM2NjIiLCJ1c2VySWQiOiIyMzY4NzgzNzEifQ==</vt:lpwstr>
  </property>
</Properties>
</file>