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仿宋" w:hAnsi="仿宋" w:eastAsia="仿宋"/>
          <w:b w:val="0"/>
          <w:bCs/>
          <w:color w:val="000000"/>
          <w:sz w:val="32"/>
          <w:szCs w:val="32"/>
        </w:rPr>
      </w:pPr>
      <w:r>
        <w:rPr>
          <w:rFonts w:hint="eastAsia" w:ascii="仿宋" w:hAnsi="仿宋" w:eastAsia="仿宋"/>
          <w:b w:val="0"/>
          <w:bCs/>
          <w:color w:val="000000"/>
          <w:spacing w:val="30"/>
          <w:sz w:val="32"/>
          <w:szCs w:val="32"/>
        </w:rPr>
        <w:t>附件2：投标产品招标参数</w:t>
      </w:r>
    </w:p>
    <w:p>
      <w:pPr>
        <w:rPr>
          <w:rFonts w:ascii="仿宋" w:hAnsi="仿宋" w:eastAsia="仿宋" w:cs="宋体"/>
          <w:kern w:val="0"/>
        </w:rPr>
      </w:pPr>
      <w:r>
        <w:rPr>
          <w:rFonts w:hint="eastAsia" w:ascii="仿宋" w:hAnsi="仿宋" w:eastAsia="仿宋"/>
          <w:color w:val="000000"/>
          <w:sz w:val="24"/>
        </w:rPr>
        <w:t>一标段:</w:t>
      </w:r>
      <w:r>
        <w:rPr>
          <w:rFonts w:hint="eastAsia" w:ascii="仿宋" w:hAnsi="仿宋" w:eastAsia="仿宋" w:cs="宋体"/>
          <w:kern w:val="0"/>
        </w:rPr>
        <w:t xml:space="preserve"> 肠道微生态病原体检验</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项目技术要求：</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1.采用NGS高通量测序技术，对肠道菌群进行基因测序，检测区域应至少包含16S V3或V4区；</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2.肠道菌群基因检测需配有常温样本保存液，以保证样本细菌群落的稳定性，有效保存时间不少于6个月；</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3.肠道菌群采样耗材制剂需有一类医疗器械备案资质（提供证书复印件（或扫描件），中标后原件备查）；</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4.肠道菌群采样试剂盒可居家采样；</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5.肠道菌群样本采样后5个工作日内出具检测报告；</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6.检测报告内容需包括菌群得分总览、肠道菌群多样性、肠型、核心有益菌、条件致病菌、致病菌、营养合成代谢、疾病相关风险分析、肠道微生态精准检测解读等内容；</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7.肠道菌群检测适用范围为全年龄段；</w:t>
      </w:r>
    </w:p>
    <w:p>
      <w:pPr>
        <w:pStyle w:val="7"/>
        <w:adjustRightInd w:val="0"/>
        <w:snapToGrid w:val="0"/>
        <w:spacing w:line="360" w:lineRule="auto"/>
        <w:ind w:firstLine="420" w:firstLineChars="200"/>
        <w:rPr>
          <w:rFonts w:ascii="仿宋" w:hAnsi="仿宋" w:eastAsia="仿宋" w:cs="宋体"/>
          <w:szCs w:val="40"/>
        </w:rPr>
      </w:pPr>
      <w:r>
        <w:rPr>
          <w:rFonts w:hint="eastAsia" w:ascii="仿宋" w:hAnsi="仿宋" w:eastAsia="仿宋" w:cs="宋体"/>
          <w:szCs w:val="40"/>
        </w:rPr>
        <w:t>8.根据临床需求出具供受体配型报告；</w:t>
      </w:r>
    </w:p>
    <w:p>
      <w:pPr>
        <w:rPr>
          <w:rFonts w:ascii="仿宋" w:hAnsi="仿宋" w:eastAsia="仿宋" w:cs="宋体"/>
          <w:szCs w:val="40"/>
        </w:rPr>
      </w:pPr>
      <w:r>
        <w:rPr>
          <w:rFonts w:hint="eastAsia" w:ascii="仿宋" w:hAnsi="仿宋" w:eastAsia="仿宋" w:cs="宋体"/>
          <w:szCs w:val="40"/>
        </w:rPr>
        <w:t>9.报告出具后配备相应解读人员</w:t>
      </w:r>
    </w:p>
    <w:tbl>
      <w:tblPr>
        <w:tblStyle w:val="16"/>
        <w:tblW w:w="850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5932"/>
        <w:gridCol w:w="1301"/>
      </w:tblGrid>
      <w:tr>
        <w:tblPrEx>
          <w:tblCellMar>
            <w:top w:w="0" w:type="dxa"/>
            <w:left w:w="108" w:type="dxa"/>
            <w:bottom w:w="0" w:type="dxa"/>
            <w:right w:w="108" w:type="dxa"/>
          </w:tblCellMar>
        </w:tblPrEx>
        <w:trPr>
          <w:trHeight w:val="454" w:hRule="atLeast"/>
          <w:tblCellSpacing w:w="0" w:type="dxa"/>
          <w:jc w:val="center"/>
        </w:trPr>
        <w:tc>
          <w:tcPr>
            <w:tcW w:w="8509" w:type="dxa"/>
            <w:gridSpan w:val="3"/>
            <w:vAlign w:val="center"/>
          </w:tcPr>
          <w:p>
            <w:pPr>
              <w:snapToGrid w:val="0"/>
              <w:jc w:val="center"/>
              <w:rPr>
                <w:rFonts w:ascii="仿宋" w:hAnsi="仿宋" w:eastAsia="仿宋" w:cs="宋体"/>
              </w:rPr>
            </w:pPr>
            <w:r>
              <w:rPr>
                <w:rFonts w:hint="eastAsia" w:ascii="仿宋" w:hAnsi="仿宋" w:eastAsia="仿宋" w:cs="宋体"/>
                <w:b/>
                <w:szCs w:val="21"/>
              </w:rPr>
              <w:t>微生物检测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Align w:val="center"/>
          </w:tcPr>
          <w:p>
            <w:pPr>
              <w:snapToGrid w:val="0"/>
              <w:jc w:val="center"/>
              <w:rPr>
                <w:rFonts w:ascii="仿宋" w:hAnsi="仿宋" w:eastAsia="仿宋" w:cs="宋体"/>
              </w:rPr>
            </w:pPr>
            <w:r>
              <w:rPr>
                <w:rFonts w:hint="eastAsia" w:ascii="仿宋" w:hAnsi="仿宋" w:eastAsia="仿宋" w:cs="宋体"/>
                <w:szCs w:val="21"/>
              </w:rPr>
              <w:t>检测项目</w:t>
            </w:r>
          </w:p>
        </w:tc>
        <w:tc>
          <w:tcPr>
            <w:tcW w:w="5932" w:type="dxa"/>
            <w:vAlign w:val="center"/>
          </w:tcPr>
          <w:p>
            <w:pPr>
              <w:snapToGrid w:val="0"/>
              <w:jc w:val="center"/>
              <w:rPr>
                <w:rFonts w:ascii="仿宋" w:hAnsi="仿宋" w:eastAsia="仿宋" w:cs="宋体"/>
              </w:rPr>
            </w:pPr>
            <w:r>
              <w:rPr>
                <w:rFonts w:hint="eastAsia" w:ascii="仿宋" w:hAnsi="仿宋" w:eastAsia="仿宋" w:cs="宋体"/>
                <w:szCs w:val="21"/>
              </w:rPr>
              <w:t>检测功能微生物项目</w:t>
            </w:r>
          </w:p>
        </w:tc>
        <w:tc>
          <w:tcPr>
            <w:tcW w:w="1301" w:type="dxa"/>
            <w:vAlign w:val="center"/>
          </w:tcPr>
          <w:p>
            <w:pPr>
              <w:snapToGrid w:val="0"/>
              <w:jc w:val="center"/>
              <w:rPr>
                <w:rFonts w:ascii="仿宋" w:hAnsi="仿宋" w:eastAsia="仿宋" w:cs="宋体"/>
              </w:rPr>
            </w:pPr>
            <w:r>
              <w:rPr>
                <w:rFonts w:hint="eastAsia" w:ascii="仿宋" w:hAnsi="仿宋" w:eastAsia="仿宋" w:cs="宋体"/>
                <w:szCs w:val="21"/>
              </w:rPr>
              <w:t>出报告时间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restart"/>
            <w:vAlign w:val="center"/>
          </w:tcPr>
          <w:p>
            <w:pPr>
              <w:snapToGrid w:val="0"/>
              <w:jc w:val="center"/>
              <w:rPr>
                <w:rFonts w:ascii="仿宋" w:hAnsi="仿宋" w:eastAsia="仿宋" w:cs="宋体"/>
              </w:rPr>
            </w:pPr>
            <w:r>
              <w:rPr>
                <w:rFonts w:hint="eastAsia" w:ascii="仿宋" w:hAnsi="仿宋" w:eastAsia="仿宋" w:cs="宋体"/>
                <w:szCs w:val="21"/>
              </w:rPr>
              <w:t>肠道菌群基因检测项目</w:t>
            </w:r>
          </w:p>
        </w:tc>
        <w:tc>
          <w:tcPr>
            <w:tcW w:w="5932" w:type="dxa"/>
            <w:vAlign w:val="center"/>
          </w:tcPr>
          <w:p>
            <w:pPr>
              <w:snapToGrid w:val="0"/>
              <w:ind w:left="1260" w:hanging="1260" w:hangingChars="600"/>
              <w:rPr>
                <w:rFonts w:ascii="仿宋" w:hAnsi="仿宋" w:eastAsia="仿宋" w:cs="宋体"/>
              </w:rPr>
            </w:pPr>
            <w:r>
              <w:rPr>
                <w:rFonts w:hint="eastAsia" w:ascii="仿宋" w:hAnsi="仿宋" w:eastAsia="仿宋" w:cs="宋体"/>
                <w:szCs w:val="21"/>
              </w:rPr>
              <w:t>普拉梭菌Faecalibacterium prausnitzii</w:t>
            </w:r>
          </w:p>
        </w:tc>
        <w:tc>
          <w:tcPr>
            <w:tcW w:w="1301" w:type="dxa"/>
            <w:vMerge w:val="restart"/>
            <w:vAlign w:val="center"/>
          </w:tcPr>
          <w:p>
            <w:pPr>
              <w:snapToGrid w:val="0"/>
              <w:ind w:left="1260" w:hanging="1260" w:hangingChars="600"/>
              <w:jc w:val="center"/>
              <w:rPr>
                <w:rFonts w:ascii="仿宋" w:hAnsi="仿宋" w:eastAsia="仿宋" w:cs="宋体"/>
              </w:rPr>
            </w:pPr>
            <w:r>
              <w:rPr>
                <w:rFonts w:hint="eastAsia" w:ascii="仿宋" w:hAnsi="仿宋" w:eastAsia="仿宋" w:cs="宋体"/>
                <w:szCs w:val="21"/>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ind w:left="840" w:hanging="840" w:hangingChars="400"/>
              <w:rPr>
                <w:rFonts w:ascii="仿宋" w:hAnsi="仿宋" w:eastAsia="仿宋" w:cs="宋体"/>
              </w:rPr>
            </w:pPr>
            <w:r>
              <w:rPr>
                <w:rFonts w:hint="eastAsia" w:ascii="仿宋" w:hAnsi="仿宋" w:eastAsia="仿宋" w:cs="宋体"/>
                <w:szCs w:val="21"/>
                <w:lang w:bidi="ar"/>
              </w:rPr>
              <w:t>动物双歧杆菌 #Bifidobacterium  animalis</w:t>
            </w:r>
          </w:p>
        </w:tc>
        <w:tc>
          <w:tcPr>
            <w:tcW w:w="1301" w:type="dxa"/>
            <w:vMerge w:val="continue"/>
            <w:vAlign w:val="center"/>
          </w:tcPr>
          <w:p>
            <w:pPr>
              <w:snapToGrid w:val="0"/>
              <w:ind w:left="840" w:hanging="840" w:hangingChars="400"/>
              <w:rPr>
                <w:rFonts w:ascii="仿宋" w:hAnsi="仿宋" w:eastAsia="仿宋" w:cs="宋体"/>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lang w:bidi="ar"/>
              </w:rPr>
              <w:t>嗜热链球菌 #Streptococcus thermophilus</w:t>
            </w:r>
          </w:p>
        </w:tc>
        <w:tc>
          <w:tcPr>
            <w:tcW w:w="1301" w:type="dxa"/>
            <w:vMerge w:val="continue"/>
            <w:vAlign w:val="center"/>
          </w:tcPr>
          <w:p>
            <w:pPr>
              <w:snapToGrid w:val="0"/>
              <w:rPr>
                <w:rFonts w:ascii="仿宋" w:hAnsi="仿宋" w:eastAsia="仿宋" w:cs="宋体"/>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textAlignment w:val="center"/>
              <w:rPr>
                <w:rFonts w:ascii="仿宋" w:hAnsi="仿宋" w:eastAsia="仿宋" w:cs="宋体"/>
              </w:rPr>
            </w:pPr>
            <w:r>
              <w:rPr>
                <w:rFonts w:hint="eastAsia" w:ascii="仿宋" w:hAnsi="仿宋" w:eastAsia="仿宋" w:cs="宋体"/>
                <w:szCs w:val="21"/>
              </w:rPr>
              <w:t>嗜粘蛋白-阿克曼菌Akkermansia muciniphila</w:t>
            </w:r>
          </w:p>
        </w:tc>
        <w:tc>
          <w:tcPr>
            <w:tcW w:w="1301" w:type="dxa"/>
            <w:vMerge w:val="continue"/>
            <w:vAlign w:val="center"/>
          </w:tcPr>
          <w:p>
            <w:pPr>
              <w:snapToGrid w:val="0"/>
              <w:textAlignment w:val="center"/>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textAlignment w:val="center"/>
              <w:rPr>
                <w:rFonts w:ascii="仿宋" w:hAnsi="仿宋" w:eastAsia="仿宋" w:cs="宋体"/>
              </w:rPr>
            </w:pPr>
            <w:r>
              <w:rPr>
                <w:rFonts w:hint="eastAsia" w:ascii="仿宋" w:hAnsi="仿宋" w:eastAsia="仿宋" w:cs="宋体"/>
                <w:szCs w:val="21"/>
              </w:rPr>
              <w:t>长双歧杆菌 #Bifidobacterium longum</w:t>
            </w:r>
          </w:p>
        </w:tc>
        <w:tc>
          <w:tcPr>
            <w:tcW w:w="1301" w:type="dxa"/>
            <w:vMerge w:val="continue"/>
            <w:vAlign w:val="center"/>
          </w:tcPr>
          <w:p>
            <w:pPr>
              <w:snapToGrid w:val="0"/>
              <w:textAlignment w:val="center"/>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两歧双歧杆菌 #Bifidobacterium bifidum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短双歧杆菌 #Bifidobacterium breve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链状双歧杆菌 Bifidobacterium catenulatum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乳双歧杆菌 #Bifidobacterium crudilactis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婴儿双歧杆菌 Bifidobacterium infantis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胃瘤双歧杆菌 Bifidobacterium merycicum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穆卡拉巴双歧杆菌Bifidobacterium moukalabense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穗状丁酸弧菌 Butyrivibrio crossotus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青春双歧杆菌 *Bifidobacterium adolescentis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棉子糖乳球菌 Lactococcus raffinolactis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假长双歧杆菌 Bifidobacterium pseudolongum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凝结芽孢杆菌 *Bacillus coagulans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多形拟杆菌 Bacteroides thetaiotaomicron</w:t>
            </w:r>
          </w:p>
        </w:tc>
        <w:tc>
          <w:tcPr>
            <w:tcW w:w="1301" w:type="dxa"/>
            <w:vMerge w:val="continue"/>
            <w:vAlign w:val="center"/>
          </w:tcPr>
          <w:p>
            <w:pPr>
              <w:snapToGrid w:val="0"/>
              <w:jc w:val="center"/>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角双歧杆菌 Bifidobacterium angulatum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短乳杆菌 Lactobacillus brevis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干酪乳杆菌 *Lactobacillus casei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卷曲乳杆菌 *Lactobacillus crispatus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弯曲乳杆菌 Lactobacillus curvatus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德氏乳杆菌 #Lactobacillus delbrueckii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粪双歧杆菌 Bifidobacterium stercoris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布劳特氏菌属氢营养菌Blautia hydrogenotrophica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丁酸梭菌 Clostridium butyricum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霍氏真杆菌 Eubacterium hallii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直肠真杆菌 Eubacterium rectale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嗜酸乳杆菌 #Lactobacillus acidophilus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分支双歧杆菌 Bifidobacterium ramosum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罗伊氏双歧杆菌 *Bifidobacterium reuteri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短柄双岐杆菌 Bifidobacterium stellenboschense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唾液乳杆菌 *Lactobacillus salivarius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乳酸乳球菌 *Lactococcus lactis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台湾乳球菌 Lactococcus taiwanensis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草酸杆菌 Oxalobacter formigenes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乳酸片球菌 *Pediococcus acidilactici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食葡糖罗斯拜瑞氏菌Roseburia inulinivorans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小牛葡萄球菌 *Staphylococcus vitulinus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木糖葡萄球菌 *Staphylococcus xylosus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肉葡萄球菌 *Staphylococcus carnosus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发酵乳杆菌 *Lactobacillus fermentum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格氏乳杆菌 *Lactobacillus gasseri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瑞士乳杆菌 #Lactobacillus helveticus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约氏乳杆菌 *Lactobacillus johnsonii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副干酪乳杆菌 #Lactobacillus paracasei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植物乳杆菌 #Lactobacillus plantarum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戊糖片球菌 *Pediococcus pentosaceus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ind w:left="1890" w:hanging="1890" w:hangingChars="900"/>
              <w:rPr>
                <w:rFonts w:ascii="仿宋" w:hAnsi="仿宋" w:eastAsia="仿宋" w:cs="宋体"/>
              </w:rPr>
            </w:pPr>
            <w:r>
              <w:rPr>
                <w:rFonts w:hint="eastAsia" w:ascii="仿宋" w:hAnsi="仿宋" w:eastAsia="仿宋" w:cs="宋体"/>
                <w:szCs w:val="21"/>
              </w:rPr>
              <w:t>琥珀酸考拉杆菌Phascolarctobacterium succinatutens</w:t>
            </w:r>
          </w:p>
        </w:tc>
        <w:tc>
          <w:tcPr>
            <w:tcW w:w="1301" w:type="dxa"/>
            <w:vMerge w:val="continue"/>
            <w:vAlign w:val="center"/>
          </w:tcPr>
          <w:p>
            <w:pPr>
              <w:snapToGrid w:val="0"/>
              <w:spacing w:line="420" w:lineRule="exact"/>
              <w:ind w:left="1890" w:hanging="1890" w:hangingChars="90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肠道罗斯拜瑞氏菌 Roseburia intestinalis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罗伊氏乳杆菌 #Lactobacillus reuteri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鼠李糖乳杆菌 #Lacticaseibacillus rhamnosus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肉毒梭菌 Clostridium botulinum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沙门氏菌 Salmonella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嗜肺军团菌 Legionella pneumophila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齿垢密螺旋体 Treponema denticola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梅毒密螺旋体 Treponema pallidum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文氏密螺旋体 Treponema vincentii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拟态弧菌 Vibrio mimicus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副溶血弧菌 Vibrio parahaemolyticus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创伤弧菌Vibrio vulnificus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小肠结肠炎耶尔森氏菌Yersinia enterocolitica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假结核耶尔森氏菌Yersinia pseudotuberculosis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幽门螺杆菌Helicobacter pylori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瘰疠分枝杆菌Mycobacterium scrofulaceum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溃疡分枝杆菌Mycobacterium ulcerans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类志贺邻单胞菌Plesiomonas shigelloides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ind w:left="1470" w:hanging="1470" w:hangingChars="700"/>
              <w:rPr>
                <w:rFonts w:ascii="仿宋" w:hAnsi="仿宋" w:eastAsia="仿宋" w:cs="宋体"/>
              </w:rPr>
            </w:pPr>
            <w:r>
              <w:rPr>
                <w:rFonts w:hint="eastAsia" w:ascii="仿宋" w:hAnsi="仿宋" w:eastAsia="仿宋" w:cs="宋体"/>
                <w:szCs w:val="21"/>
              </w:rPr>
              <w:t>猪霍乱沙氏菌Salmonella enterica subsp. enterica serovar Choleraesuis</w:t>
            </w:r>
          </w:p>
        </w:tc>
        <w:tc>
          <w:tcPr>
            <w:tcW w:w="1301" w:type="dxa"/>
            <w:vMerge w:val="continue"/>
            <w:vAlign w:val="center"/>
          </w:tcPr>
          <w:p>
            <w:pPr>
              <w:snapToGrid w:val="0"/>
              <w:spacing w:line="420" w:lineRule="exact"/>
              <w:ind w:left="1470" w:hanging="1470" w:hangingChars="70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rPr>
                <w:rFonts w:ascii="仿宋" w:hAnsi="仿宋" w:eastAsia="仿宋" w:cs="宋体"/>
              </w:rPr>
            </w:pPr>
            <w:r>
              <w:rPr>
                <w:rFonts w:hint="eastAsia" w:ascii="仿宋" w:hAnsi="仿宋" w:eastAsia="仿宋" w:cs="宋体"/>
                <w:szCs w:val="21"/>
              </w:rPr>
              <w:t>肠炎沙门菌Salmonella enterica subsp. enterica serovar Enteritidis</w:t>
            </w:r>
          </w:p>
        </w:tc>
        <w:tc>
          <w:tcPr>
            <w:tcW w:w="1301" w:type="dxa"/>
            <w:vMerge w:val="continue"/>
            <w:vAlign w:val="center"/>
          </w:tcPr>
          <w:p>
            <w:pPr>
              <w:snapToGrid w:val="0"/>
              <w:spacing w:line="420" w:lineRule="exact"/>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rPr>
                <w:rFonts w:ascii="仿宋" w:hAnsi="仿宋" w:eastAsia="仿宋" w:cs="宋体"/>
              </w:rPr>
            </w:pPr>
            <w:r>
              <w:rPr>
                <w:rFonts w:hint="eastAsia" w:ascii="仿宋" w:hAnsi="仿宋" w:eastAsia="仿宋" w:cs="宋体"/>
                <w:szCs w:val="21"/>
              </w:rPr>
              <w:t>副伤寒沙门氏菌-ASalmonella enterica subsp. enterica serovar Paratyphi A</w:t>
            </w:r>
          </w:p>
        </w:tc>
        <w:tc>
          <w:tcPr>
            <w:tcW w:w="1301" w:type="dxa"/>
            <w:vMerge w:val="continue"/>
            <w:vAlign w:val="center"/>
          </w:tcPr>
          <w:p>
            <w:pPr>
              <w:snapToGrid w:val="0"/>
              <w:spacing w:line="420" w:lineRule="exact"/>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rPr>
                <w:rFonts w:ascii="仿宋" w:hAnsi="仿宋" w:eastAsia="仿宋" w:cs="宋体"/>
              </w:rPr>
            </w:pPr>
            <w:r>
              <w:rPr>
                <w:rFonts w:hint="eastAsia" w:ascii="仿宋" w:hAnsi="仿宋" w:eastAsia="仿宋" w:cs="宋体"/>
                <w:szCs w:val="21"/>
              </w:rPr>
              <w:t>副伤寒沙门氏菌-BSalmonella enterica subsp. enterica serovar Paratyphi B</w:t>
            </w:r>
          </w:p>
        </w:tc>
        <w:tc>
          <w:tcPr>
            <w:tcW w:w="1301" w:type="dxa"/>
            <w:vMerge w:val="continue"/>
            <w:vAlign w:val="center"/>
          </w:tcPr>
          <w:p>
            <w:pPr>
              <w:snapToGrid w:val="0"/>
              <w:spacing w:line="420" w:lineRule="exact"/>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rPr>
                <w:rFonts w:ascii="仿宋" w:hAnsi="仿宋" w:eastAsia="仿宋" w:cs="宋体"/>
              </w:rPr>
            </w:pPr>
            <w:r>
              <w:rPr>
                <w:rFonts w:hint="eastAsia" w:ascii="仿宋" w:hAnsi="仿宋" w:eastAsia="仿宋" w:cs="宋体"/>
                <w:szCs w:val="21"/>
              </w:rPr>
              <w:t>副伤寒沙门氏菌-CSalmonella enterica subsp. enterica serovar Paratyphi C</w:t>
            </w:r>
          </w:p>
        </w:tc>
        <w:tc>
          <w:tcPr>
            <w:tcW w:w="1301" w:type="dxa"/>
            <w:vMerge w:val="continue"/>
            <w:vAlign w:val="center"/>
          </w:tcPr>
          <w:p>
            <w:pPr>
              <w:snapToGrid w:val="0"/>
              <w:spacing w:line="420" w:lineRule="exact"/>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rPr>
                <w:rFonts w:ascii="仿宋" w:hAnsi="仿宋" w:eastAsia="仿宋" w:cs="宋体"/>
              </w:rPr>
            </w:pPr>
            <w:r>
              <w:rPr>
                <w:rFonts w:hint="eastAsia" w:ascii="仿宋" w:hAnsi="仿宋" w:eastAsia="仿宋" w:cs="宋体"/>
                <w:szCs w:val="21"/>
              </w:rPr>
              <w:t>伤寒沙门氏菌Salmonella enterica subsp. enterica serovar Typhi</w:t>
            </w:r>
          </w:p>
        </w:tc>
        <w:tc>
          <w:tcPr>
            <w:tcW w:w="1301" w:type="dxa"/>
            <w:vMerge w:val="continue"/>
            <w:vAlign w:val="center"/>
          </w:tcPr>
          <w:p>
            <w:pPr>
              <w:snapToGrid w:val="0"/>
              <w:spacing w:line="420" w:lineRule="exact"/>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spacing w:line="420" w:lineRule="exact"/>
              <w:rPr>
                <w:rFonts w:ascii="仿宋" w:hAnsi="仿宋" w:eastAsia="仿宋" w:cs="宋体"/>
              </w:rPr>
            </w:pPr>
            <w:r>
              <w:rPr>
                <w:rFonts w:hint="eastAsia" w:ascii="仿宋" w:hAnsi="仿宋" w:eastAsia="仿宋" w:cs="宋体"/>
                <w:szCs w:val="21"/>
              </w:rPr>
              <w:t>鼠伤寒沙门菌Salmonella enterica subsp. enterica serovar Typhimurium</w:t>
            </w:r>
          </w:p>
        </w:tc>
        <w:tc>
          <w:tcPr>
            <w:tcW w:w="1301" w:type="dxa"/>
            <w:vMerge w:val="continue"/>
            <w:vAlign w:val="center"/>
          </w:tcPr>
          <w:p>
            <w:pPr>
              <w:snapToGrid w:val="0"/>
              <w:spacing w:line="420" w:lineRule="exact"/>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鲍氏志贺氏菌Shigella boydii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痢疾志贺氏菌Shigella dysenteriae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福氏志贺氏菌Shigella flexneri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宋内志贺氏菌Shigella sonnei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鸟-胞内分枝杆菌Mycobacterium avium complex sp.</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龟分枝杆菌Mycobacteroides chelonae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偶发分枝杆菌Mycobacterium fortuitum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堪萨斯分枝杆菌Mycobacterium kansasii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海分枝杆菌Mycobacterium marinum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阪崎肠杆菌Cronobacter sakazakii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猪红斑丹毒丝菌Erysipelothrix rhusiopathiae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长滩军团菌Legionella longbeachae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单核细胞增生李斯特菌Listeria monocytogenes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猪布鲁氏杆菌Brucella suis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大肠弯曲菌Campylobacter coli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胎儿弯曲菌Campylobacter fetus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空肠弯曲菌Campylobacter jejuni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牛布鲁氏杆菌Brucella abortus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犬布鲁氏杆菌Brucella canis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羊布鲁氏杆菌Brucella melitensis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绵羊布鲁氏杆菌Brucella ovis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金黄色葡萄球菌Staphylococcus aureus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猪链球菌Streptococcus suis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产气荚膜梭菌Clostridium perfringens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普通拟杆菌Phocaeicola vulgatus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大肠埃希氏菌Escherichia coli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粪肠球菌Enterococcus faecalis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屎肠球菌Enterococcus faecium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蜡样芽孢杆菌Bacillus cereus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小韦荣球菌Veillonella parvula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艰难梭菌Clostridioides difficile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肺炎克雷伯菌Klebsiella pneumoniae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鲍曼不动杆菌Acinetobacter baumannii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恶臭假单胞菌Pseudomonas putida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脆弱拟杆菌Bacteroides fragilis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铜绿假单胞菌Pseudomonas aeruginosa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醋酸钙不动杆菌Acinetobacter calcoaceticus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约氏不动杆菌Acinetobacter johnsonii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琼氏不动杆菌Acinetobacter junii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鲁氏不动杆菌Acinetobacter lwoffii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阴沟肠杆菌Enterobacter cloacae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具核梭杆菌Fusobacterium nucleatum</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豚鼠气单胞菌Aeromonas caviae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嗜水气单胞菌Aeromonas hydrophila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温和气单胞菌Aeromonas sobria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唐菖蒲伯克霍尔德氏菌Burkholderia gladioli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门多萨假单胞菌Pseudomonas mendocina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斯氏假单胞菌Pseudomonas stutzeri</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咽峡链球菌Streptococcus anginosus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肺炎链球菌Streptococcus pneumoniae</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脱氮假单胞菌Pseudomonas denitrificans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荧光假单胞菌Pseudomonas fluorescens</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snapToGrid w:val="0"/>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黄褐假单胞菌Pseudomonas fulva</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8509" w:type="dxa"/>
            <w:gridSpan w:val="3"/>
            <w:vAlign w:val="center"/>
          </w:tcPr>
          <w:p>
            <w:pPr>
              <w:snapToGrid w:val="0"/>
              <w:jc w:val="center"/>
              <w:rPr>
                <w:rFonts w:ascii="仿宋" w:hAnsi="仿宋" w:eastAsia="仿宋" w:cs="宋体"/>
              </w:rPr>
            </w:pPr>
            <w:r>
              <w:rPr>
                <w:rFonts w:hint="eastAsia" w:ascii="仿宋" w:hAnsi="仿宋" w:eastAsia="仿宋" w:cs="宋体"/>
                <w:b/>
                <w:bCs/>
                <w:spacing w:val="12"/>
                <w:szCs w:val="21"/>
              </w:rPr>
              <w:t>肠道微生态分析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Align w:val="center"/>
          </w:tcPr>
          <w:p>
            <w:pPr>
              <w:snapToGrid w:val="0"/>
              <w:jc w:val="center"/>
              <w:rPr>
                <w:rFonts w:ascii="仿宋" w:hAnsi="仿宋" w:eastAsia="仿宋" w:cs="宋体"/>
              </w:rPr>
            </w:pPr>
            <w:r>
              <w:rPr>
                <w:rFonts w:hint="eastAsia" w:ascii="仿宋" w:hAnsi="仿宋" w:eastAsia="仿宋" w:cs="宋体"/>
                <w:szCs w:val="21"/>
              </w:rPr>
              <w:t>分析项目</w:t>
            </w:r>
          </w:p>
        </w:tc>
        <w:tc>
          <w:tcPr>
            <w:tcW w:w="5932" w:type="dxa"/>
            <w:vAlign w:val="center"/>
          </w:tcPr>
          <w:p>
            <w:pPr>
              <w:snapToGrid w:val="0"/>
              <w:jc w:val="center"/>
              <w:rPr>
                <w:rFonts w:ascii="仿宋" w:hAnsi="仿宋" w:eastAsia="仿宋" w:cs="宋体"/>
              </w:rPr>
            </w:pPr>
            <w:r>
              <w:rPr>
                <w:rFonts w:hint="eastAsia" w:ascii="仿宋" w:hAnsi="仿宋" w:eastAsia="仿宋" w:cs="宋体"/>
                <w:szCs w:val="21"/>
              </w:rPr>
              <w:t>项目名称</w:t>
            </w:r>
          </w:p>
        </w:tc>
        <w:tc>
          <w:tcPr>
            <w:tcW w:w="1301" w:type="dxa"/>
            <w:vAlign w:val="center"/>
          </w:tcPr>
          <w:p>
            <w:pPr>
              <w:snapToGrid w:val="0"/>
              <w:jc w:val="center"/>
              <w:rPr>
                <w:rFonts w:ascii="仿宋" w:hAnsi="仿宋" w:eastAsia="仿宋" w:cs="宋体"/>
              </w:rPr>
            </w:pPr>
            <w:r>
              <w:rPr>
                <w:rFonts w:hint="eastAsia" w:ascii="仿宋" w:hAnsi="仿宋" w:eastAsia="仿宋" w:cs="宋体"/>
                <w:szCs w:val="21"/>
              </w:rPr>
              <w:t>出报告时间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restart"/>
            <w:vAlign w:val="center"/>
          </w:tcPr>
          <w:p>
            <w:pPr>
              <w:jc w:val="center"/>
              <w:rPr>
                <w:rFonts w:ascii="仿宋" w:hAnsi="仿宋" w:eastAsia="仿宋" w:cs="宋体"/>
              </w:rPr>
            </w:pPr>
            <w:r>
              <w:rPr>
                <w:rFonts w:hint="eastAsia" w:ascii="仿宋" w:hAnsi="仿宋" w:eastAsia="仿宋" w:cs="宋体"/>
                <w:szCs w:val="21"/>
              </w:rPr>
              <w:t>肠道微生态分析</w:t>
            </w:r>
          </w:p>
        </w:tc>
        <w:tc>
          <w:tcPr>
            <w:tcW w:w="5932" w:type="dxa"/>
            <w:vAlign w:val="center"/>
          </w:tcPr>
          <w:p>
            <w:pPr>
              <w:snapToGrid w:val="0"/>
              <w:rPr>
                <w:rFonts w:ascii="仿宋" w:hAnsi="仿宋" w:eastAsia="仿宋" w:cs="宋体"/>
              </w:rPr>
            </w:pPr>
            <w:r>
              <w:rPr>
                <w:rFonts w:hint="eastAsia" w:ascii="仿宋" w:hAnsi="仿宋" w:eastAsia="仿宋" w:cs="宋体"/>
                <w:szCs w:val="21"/>
              </w:rPr>
              <w:t>肠道微生物整体健康状况评估</w:t>
            </w:r>
          </w:p>
        </w:tc>
        <w:tc>
          <w:tcPr>
            <w:tcW w:w="1301" w:type="dxa"/>
            <w:vMerge w:val="restart"/>
            <w:vAlign w:val="center"/>
          </w:tcPr>
          <w:p>
            <w:pPr>
              <w:snapToGrid w:val="0"/>
              <w:jc w:val="center"/>
              <w:rPr>
                <w:rFonts w:ascii="仿宋" w:hAnsi="仿宋" w:eastAsia="仿宋" w:cs="宋体"/>
              </w:rPr>
            </w:pPr>
            <w:r>
              <w:rPr>
                <w:rFonts w:hint="eastAsia" w:ascii="仿宋" w:hAnsi="仿宋" w:eastAsia="仿宋" w:cs="宋体"/>
                <w:szCs w:val="21"/>
              </w:rPr>
              <w:t>5天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肠道免疫力评估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毒素降解能力评估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肠道菌群过敏风险评估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抗生素耐药性评估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短链脂肪酸合成能力</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营养物质代谢能力评估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营养素评估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肠道菌群与疾病相关风险评估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抗生素耐药性评估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短链脂肪酸合成能力</w:t>
            </w:r>
          </w:p>
        </w:tc>
        <w:tc>
          <w:tcPr>
            <w:tcW w:w="1301" w:type="dxa"/>
            <w:vMerge w:val="continue"/>
            <w:vAlign w:val="center"/>
          </w:tcPr>
          <w:p>
            <w:pPr>
              <w:snapToGrid w:val="0"/>
              <w:rPr>
                <w:rFonts w:ascii="仿宋" w:hAnsi="仿宋" w:eastAsia="仿宋" w:cs="宋体"/>
              </w:rPr>
            </w:pPr>
          </w:p>
        </w:tc>
      </w:tr>
      <w:tr>
        <w:tblPrEx>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营养物质代谢能力评估</w:t>
            </w:r>
          </w:p>
        </w:tc>
        <w:tc>
          <w:tcPr>
            <w:tcW w:w="1301" w:type="dxa"/>
            <w:vMerge w:val="continue"/>
            <w:vAlign w:val="center"/>
          </w:tcPr>
          <w:p>
            <w:pPr>
              <w:snapToGrid w:val="0"/>
              <w:rPr>
                <w:rFonts w:ascii="仿宋" w:hAnsi="仿宋" w:eastAsia="仿宋" w:cs="宋体"/>
              </w:rPr>
            </w:pPr>
          </w:p>
        </w:tc>
      </w:tr>
      <w:tr>
        <w:tblPrEx>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营养素评估</w:t>
            </w:r>
          </w:p>
        </w:tc>
        <w:tc>
          <w:tcPr>
            <w:tcW w:w="1301" w:type="dxa"/>
            <w:vMerge w:val="continue"/>
            <w:vAlign w:val="center"/>
          </w:tcPr>
          <w:p>
            <w:pPr>
              <w:snapToGrid w:val="0"/>
              <w:rPr>
                <w:rFonts w:ascii="仿宋" w:hAnsi="仿宋" w:eastAsia="仿宋"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CellSpacing w:w="0" w:type="dxa"/>
          <w:jc w:val="center"/>
        </w:trPr>
        <w:tc>
          <w:tcPr>
            <w:tcW w:w="1276" w:type="dxa"/>
            <w:vMerge w:val="continue"/>
            <w:vAlign w:val="center"/>
          </w:tcPr>
          <w:p>
            <w:pPr>
              <w:jc w:val="center"/>
              <w:rPr>
                <w:rFonts w:ascii="仿宋" w:hAnsi="仿宋" w:eastAsia="仿宋" w:cs="宋体"/>
              </w:rPr>
            </w:pPr>
          </w:p>
        </w:tc>
        <w:tc>
          <w:tcPr>
            <w:tcW w:w="5932" w:type="dxa"/>
            <w:vAlign w:val="center"/>
          </w:tcPr>
          <w:p>
            <w:pPr>
              <w:snapToGrid w:val="0"/>
              <w:rPr>
                <w:rFonts w:ascii="仿宋" w:hAnsi="仿宋" w:eastAsia="仿宋" w:cs="宋体"/>
              </w:rPr>
            </w:pPr>
            <w:r>
              <w:rPr>
                <w:rFonts w:hint="eastAsia" w:ascii="仿宋" w:hAnsi="仿宋" w:eastAsia="仿宋" w:cs="宋体"/>
                <w:szCs w:val="21"/>
              </w:rPr>
              <w:t>肠道菌群与疾病相关风险评估</w:t>
            </w:r>
          </w:p>
        </w:tc>
        <w:tc>
          <w:tcPr>
            <w:tcW w:w="1301" w:type="dxa"/>
            <w:vMerge w:val="continue"/>
            <w:vAlign w:val="center"/>
          </w:tcPr>
          <w:p>
            <w:pPr>
              <w:snapToGrid w:val="0"/>
              <w:rPr>
                <w:rFonts w:ascii="仿宋" w:hAnsi="仿宋" w:eastAsia="仿宋" w:cs="宋体"/>
              </w:rPr>
            </w:pPr>
          </w:p>
        </w:tc>
      </w:tr>
    </w:tbl>
    <w:p>
      <w:pPr>
        <w:rPr>
          <w:rFonts w:ascii="仿宋" w:hAnsi="仿宋" w:eastAsia="仿宋"/>
          <w:color w:val="000000"/>
          <w:sz w:val="24"/>
        </w:rPr>
      </w:pPr>
    </w:p>
    <w:p>
      <w:pPr>
        <w:adjustRightInd w:val="0"/>
        <w:snapToGrid w:val="0"/>
        <w:spacing w:line="520" w:lineRule="exact"/>
        <w:rPr>
          <w:rFonts w:ascii="仿宋" w:hAnsi="仿宋" w:eastAsia="仿宋"/>
          <w:bCs/>
          <w:sz w:val="32"/>
          <w:szCs w:val="32"/>
        </w:rPr>
      </w:pPr>
      <w:r>
        <w:rPr>
          <w:rFonts w:hint="eastAsia" w:ascii="仿宋" w:hAnsi="仿宋" w:eastAsia="仿宋" w:cstheme="minorEastAsia"/>
          <w:kern w:val="0"/>
          <w:sz w:val="24"/>
        </w:rPr>
        <w:t>二标段：</w:t>
      </w:r>
      <w:r>
        <w:rPr>
          <w:rFonts w:hint="eastAsia" w:ascii="仿宋" w:hAnsi="仿宋" w:eastAsia="仿宋" w:cs="宋体"/>
          <w:kern w:val="0"/>
          <w:sz w:val="24"/>
        </w:rPr>
        <w:t>粪菌移植</w:t>
      </w:r>
      <w:r>
        <w:rPr>
          <w:rFonts w:hint="eastAsia" w:ascii="仿宋" w:hAnsi="仿宋" w:eastAsia="仿宋" w:cstheme="minorEastAsia"/>
          <w:bCs/>
          <w:kern w:val="0"/>
          <w:sz w:val="24"/>
        </w:rPr>
        <w:t>技术服务要求</w:t>
      </w:r>
    </w:p>
    <w:p>
      <w:pPr>
        <w:adjustRightInd w:val="0"/>
        <w:snapToGrid w:val="0"/>
        <w:spacing w:line="520" w:lineRule="exact"/>
        <w:outlineLvl w:val="1"/>
        <w:rPr>
          <w:rFonts w:ascii="仿宋" w:hAnsi="仿宋" w:eastAsia="仿宋" w:cstheme="minorEastAsia"/>
          <w:bCs/>
          <w:kern w:val="0"/>
          <w:sz w:val="24"/>
        </w:rPr>
      </w:pPr>
      <w:bookmarkStart w:id="0" w:name="_Toc6264"/>
      <w:bookmarkStart w:id="1" w:name="_Toc12621"/>
      <w:bookmarkStart w:id="2" w:name="_Toc28638"/>
      <w:bookmarkStart w:id="3" w:name="_Toc17530"/>
      <w:bookmarkStart w:id="4" w:name="_Toc9256"/>
      <w:r>
        <w:rPr>
          <w:rFonts w:hint="eastAsia" w:ascii="仿宋" w:hAnsi="仿宋" w:eastAsia="仿宋" w:cstheme="minorEastAsia"/>
          <w:bCs/>
          <w:kern w:val="0"/>
          <w:sz w:val="24"/>
        </w:rPr>
        <w:t>（一）</w:t>
      </w:r>
      <w:bookmarkEnd w:id="0"/>
      <w:bookmarkEnd w:id="1"/>
      <w:bookmarkEnd w:id="2"/>
      <w:bookmarkEnd w:id="3"/>
      <w:bookmarkEnd w:id="4"/>
      <w:r>
        <w:rPr>
          <w:rFonts w:hint="eastAsia" w:ascii="仿宋" w:hAnsi="仿宋" w:eastAsia="仿宋" w:cstheme="minorEastAsia"/>
          <w:bCs/>
          <w:kern w:val="0"/>
          <w:sz w:val="24"/>
        </w:rPr>
        <w:t>基本要求</w:t>
      </w:r>
    </w:p>
    <w:p>
      <w:pPr>
        <w:adjustRightInd w:val="0"/>
        <w:snapToGrid w:val="0"/>
        <w:spacing w:line="520" w:lineRule="exact"/>
        <w:ind w:firstLine="480" w:firstLineChars="200"/>
        <w:rPr>
          <w:rFonts w:ascii="仿宋" w:hAnsi="仿宋" w:eastAsia="仿宋" w:cstheme="minorEastAsia"/>
          <w:bCs/>
          <w:kern w:val="0"/>
          <w:sz w:val="28"/>
          <w:szCs w:val="28"/>
        </w:rPr>
      </w:pPr>
      <w:r>
        <w:rPr>
          <w:rFonts w:hint="eastAsia" w:ascii="仿宋" w:hAnsi="仿宋" w:eastAsia="仿宋" w:cstheme="minorEastAsia"/>
          <w:bCs/>
          <w:kern w:val="0"/>
          <w:sz w:val="24"/>
        </w:rPr>
        <w:t>供应商能为院方提供符合《肠道菌群移植临床应用管理中国专家共识（2022版）》中描述的规范化的移植用肠道菌群制剂，为院方提供便秘、炎性肠病（IBD）、自闭症等多种与肠道菌群失衡相关的慢性疾病的生物技术创新疗法，并且能为院内相关科室提供肠道微生态诊疗技术在临床应用方案。</w:t>
      </w:r>
    </w:p>
    <w:p>
      <w:pPr>
        <w:adjustRightInd w:val="0"/>
        <w:snapToGrid w:val="0"/>
        <w:spacing w:line="520" w:lineRule="exact"/>
        <w:outlineLvl w:val="1"/>
        <w:rPr>
          <w:rFonts w:ascii="仿宋" w:hAnsi="仿宋" w:eastAsia="仿宋" w:cs="仿宋"/>
          <w:bCs/>
          <w:kern w:val="0"/>
          <w:sz w:val="24"/>
        </w:rPr>
      </w:pPr>
      <w:bookmarkStart w:id="5" w:name="_Toc8101"/>
      <w:bookmarkStart w:id="6" w:name="_Toc29466"/>
      <w:bookmarkStart w:id="7" w:name="_Toc6354"/>
      <w:bookmarkStart w:id="8" w:name="_Toc4985"/>
      <w:bookmarkStart w:id="9" w:name="_Toc31605"/>
      <w:r>
        <w:rPr>
          <w:rFonts w:hint="eastAsia" w:ascii="仿宋" w:hAnsi="仿宋" w:eastAsia="仿宋" w:cs="宋体"/>
          <w:bCs/>
          <w:kern w:val="0"/>
          <w:sz w:val="24"/>
          <w:szCs w:val="28"/>
        </w:rPr>
        <w:t>（二）</w:t>
      </w:r>
      <w:bookmarkEnd w:id="5"/>
      <w:bookmarkEnd w:id="6"/>
      <w:bookmarkEnd w:id="7"/>
      <w:bookmarkEnd w:id="8"/>
      <w:bookmarkEnd w:id="9"/>
      <w:r>
        <w:rPr>
          <w:rFonts w:hint="eastAsia" w:ascii="仿宋" w:hAnsi="仿宋" w:eastAsia="仿宋" w:cs="宋体"/>
          <w:bCs/>
          <w:kern w:val="0"/>
          <w:sz w:val="24"/>
          <w:szCs w:val="28"/>
        </w:rPr>
        <w:t>制剂技术参数</w:t>
      </w:r>
    </w:p>
    <w:p>
      <w:pPr>
        <w:spacing w:line="520" w:lineRule="exact"/>
        <w:rPr>
          <w:rFonts w:ascii="仿宋" w:hAnsi="仿宋" w:eastAsia="仿宋" w:cs="宋体"/>
          <w:bCs/>
          <w:kern w:val="0"/>
          <w:sz w:val="24"/>
        </w:rPr>
      </w:pPr>
      <w:bookmarkStart w:id="10" w:name="_Toc9811"/>
      <w:bookmarkStart w:id="11" w:name="_Toc4170"/>
      <w:bookmarkStart w:id="12" w:name="_Toc32499"/>
      <w:bookmarkStart w:id="13" w:name="_Toc13671"/>
      <w:bookmarkStart w:id="14" w:name="_Toc25885"/>
      <w:r>
        <w:rPr>
          <w:rFonts w:hint="eastAsia" w:ascii="仿宋" w:hAnsi="仿宋" w:eastAsia="仿宋" w:cs="宋体"/>
          <w:bCs/>
          <w:kern w:val="0"/>
          <w:sz w:val="24"/>
        </w:rPr>
        <w:t>1.至少能提供肠菌菌液、肠菌胶囊、肠菌微胶囊、肠菌油剂等4种剂型；</w:t>
      </w:r>
    </w:p>
    <w:p>
      <w:pPr>
        <w:spacing w:line="520" w:lineRule="exact"/>
        <w:rPr>
          <w:rFonts w:ascii="仿宋" w:hAnsi="仿宋" w:eastAsia="仿宋" w:cs="宋体"/>
          <w:bCs/>
          <w:kern w:val="0"/>
          <w:sz w:val="24"/>
        </w:rPr>
      </w:pPr>
      <w:r>
        <w:rPr>
          <w:rFonts w:hint="eastAsia" w:ascii="仿宋" w:hAnsi="仿宋" w:eastAsia="仿宋" w:cstheme="minorEastAsia"/>
          <w:bCs/>
          <w:kern w:val="0"/>
          <w:sz w:val="24"/>
        </w:rPr>
        <w:t>2.移植以符合《肠道菌群移植临床应用管理中国专家共识共识）（2022版）活菌含量标准要求作为治疗剂量；</w:t>
      </w:r>
    </w:p>
    <w:p>
      <w:pPr>
        <w:spacing w:line="520" w:lineRule="exact"/>
        <w:rPr>
          <w:rFonts w:ascii="仿宋" w:hAnsi="仿宋" w:eastAsia="仿宋" w:cs="宋体"/>
          <w:bCs/>
          <w:kern w:val="0"/>
          <w:sz w:val="24"/>
        </w:rPr>
      </w:pPr>
      <w:r>
        <w:rPr>
          <w:rFonts w:hint="eastAsia" w:ascii="仿宋" w:hAnsi="仿宋" w:eastAsia="仿宋" w:cs="宋体"/>
          <w:bCs/>
          <w:kern w:val="0"/>
          <w:sz w:val="24"/>
        </w:rPr>
        <w:t>3.菌液、胶囊、微胶囊及油剂的技术参数：</w:t>
      </w:r>
    </w:p>
    <w:p>
      <w:pPr>
        <w:spacing w:line="520" w:lineRule="exact"/>
        <w:rPr>
          <w:rFonts w:ascii="仿宋" w:hAnsi="仿宋" w:eastAsia="仿宋" w:cs="宋体"/>
          <w:bCs/>
          <w:sz w:val="24"/>
        </w:rPr>
      </w:pPr>
      <w:r>
        <w:rPr>
          <w:rFonts w:hint="eastAsia" w:ascii="仿宋" w:hAnsi="仿宋" w:eastAsia="仿宋" w:cs="宋体"/>
          <w:bCs/>
          <w:sz w:val="24"/>
        </w:rPr>
        <w:t>（1）菌液活菌含量（个/mL）≥5.00×10</w:t>
      </w:r>
      <w:r>
        <w:rPr>
          <w:rFonts w:hint="eastAsia" w:ascii="仿宋" w:hAnsi="仿宋" w:eastAsia="仿宋" w:cs="宋体"/>
          <w:bCs/>
          <w:sz w:val="24"/>
          <w:vertAlign w:val="superscript"/>
          <w:lang w:val="en-US" w:eastAsia="zh-CN"/>
        </w:rPr>
        <w:t>12</w:t>
      </w:r>
      <w:r>
        <w:rPr>
          <w:rFonts w:hint="eastAsia" w:ascii="仿宋" w:hAnsi="仿宋" w:eastAsia="仿宋" w:cs="宋体"/>
          <w:bCs/>
          <w:sz w:val="24"/>
        </w:rPr>
        <w:t>个</w:t>
      </w:r>
    </w:p>
    <w:p>
      <w:pPr>
        <w:spacing w:line="520" w:lineRule="exact"/>
        <w:rPr>
          <w:rFonts w:ascii="仿宋" w:hAnsi="仿宋" w:eastAsia="仿宋" w:cs="宋体"/>
          <w:bCs/>
          <w:sz w:val="24"/>
        </w:rPr>
      </w:pPr>
      <w:r>
        <w:rPr>
          <w:rFonts w:hint="eastAsia" w:ascii="仿宋" w:hAnsi="仿宋" w:eastAsia="仿宋" w:cs="宋体"/>
          <w:bCs/>
          <w:sz w:val="24"/>
        </w:rPr>
        <w:t>（2）菌液细菌活性≥</w:t>
      </w:r>
      <w:r>
        <w:rPr>
          <w:rFonts w:hint="eastAsia" w:ascii="仿宋" w:hAnsi="仿宋" w:eastAsia="仿宋" w:cs="宋体"/>
          <w:bCs/>
          <w:sz w:val="24"/>
          <w:lang w:val="en-US" w:eastAsia="zh-CN"/>
        </w:rPr>
        <w:t>9</w:t>
      </w:r>
      <w:r>
        <w:rPr>
          <w:rFonts w:hint="eastAsia" w:ascii="仿宋" w:hAnsi="仿宋" w:eastAsia="仿宋" w:cs="宋体"/>
          <w:bCs/>
          <w:sz w:val="24"/>
        </w:rPr>
        <w:t>0%</w:t>
      </w:r>
    </w:p>
    <w:p>
      <w:pPr>
        <w:spacing w:line="520" w:lineRule="exact"/>
        <w:rPr>
          <w:rFonts w:ascii="仿宋" w:hAnsi="仿宋" w:eastAsia="仿宋" w:cs="宋体"/>
          <w:bCs/>
          <w:sz w:val="24"/>
        </w:rPr>
      </w:pPr>
      <w:r>
        <w:rPr>
          <w:rFonts w:hint="eastAsia" w:ascii="仿宋" w:hAnsi="仿宋" w:eastAsia="仿宋" w:cs="宋体"/>
          <w:bCs/>
          <w:sz w:val="24"/>
        </w:rPr>
        <w:t>（3）胶囊活菌浓度（个/g）≥1×10</w:t>
      </w:r>
      <w:r>
        <w:rPr>
          <w:rFonts w:hint="eastAsia" w:ascii="仿宋" w:hAnsi="仿宋" w:eastAsia="仿宋" w:cs="宋体"/>
          <w:bCs/>
          <w:sz w:val="24"/>
          <w:vertAlign w:val="superscript"/>
        </w:rPr>
        <w:t>9</w:t>
      </w:r>
      <w:r>
        <w:rPr>
          <w:rFonts w:hint="eastAsia" w:ascii="仿宋" w:hAnsi="仿宋" w:eastAsia="仿宋" w:cs="宋体"/>
          <w:bCs/>
          <w:sz w:val="24"/>
        </w:rPr>
        <w:t>个</w:t>
      </w:r>
    </w:p>
    <w:p>
      <w:pPr>
        <w:spacing w:line="520" w:lineRule="exact"/>
        <w:rPr>
          <w:rFonts w:ascii="仿宋" w:hAnsi="仿宋" w:eastAsia="仿宋" w:cs="宋体"/>
          <w:bCs/>
          <w:sz w:val="24"/>
        </w:rPr>
      </w:pPr>
      <w:r>
        <w:rPr>
          <w:rFonts w:hint="eastAsia" w:ascii="仿宋" w:hAnsi="仿宋" w:eastAsia="仿宋" w:cs="宋体"/>
          <w:bCs/>
          <w:sz w:val="24"/>
        </w:rPr>
        <w:t>（4）胶囊细菌活性≥70%</w:t>
      </w:r>
    </w:p>
    <w:p>
      <w:pPr>
        <w:spacing w:line="520" w:lineRule="exact"/>
        <w:rPr>
          <w:rFonts w:ascii="仿宋" w:hAnsi="仿宋" w:eastAsia="仿宋" w:cs="仿宋"/>
          <w:sz w:val="24"/>
        </w:rPr>
      </w:pPr>
      <w:r>
        <w:rPr>
          <w:rFonts w:hint="eastAsia" w:ascii="仿宋" w:hAnsi="仿宋" w:eastAsia="仿宋" w:cs="仿宋"/>
          <w:bCs/>
          <w:sz w:val="24"/>
        </w:rPr>
        <w:t>（5）肠菌油剂</w:t>
      </w:r>
      <w:r>
        <w:rPr>
          <w:rFonts w:hint="eastAsia" w:ascii="仿宋" w:hAnsi="仿宋" w:eastAsia="仿宋" w:cs="仿宋"/>
          <w:sz w:val="24"/>
        </w:rPr>
        <w:t>活菌含量&gt;1.6x10</w:t>
      </w:r>
      <w:r>
        <w:rPr>
          <w:rFonts w:hint="eastAsia" w:ascii="仿宋" w:hAnsi="仿宋" w:eastAsia="仿宋" w:cs="仿宋"/>
          <w:sz w:val="24"/>
          <w:vertAlign w:val="superscript"/>
        </w:rPr>
        <w:t xml:space="preserve">10 </w:t>
      </w:r>
      <w:r>
        <w:rPr>
          <w:rFonts w:hint="eastAsia" w:ascii="仿宋" w:hAnsi="仿宋" w:eastAsia="仿宋" w:cs="仿宋"/>
          <w:sz w:val="24"/>
        </w:rPr>
        <w:t xml:space="preserve">cfu/g  </w:t>
      </w:r>
    </w:p>
    <w:p>
      <w:pPr>
        <w:spacing w:line="520" w:lineRule="exact"/>
        <w:rPr>
          <w:rFonts w:ascii="仿宋" w:hAnsi="仿宋" w:eastAsia="仿宋" w:cs="宋体"/>
          <w:bCs/>
          <w:sz w:val="24"/>
        </w:rPr>
      </w:pPr>
      <w:r>
        <w:rPr>
          <w:rFonts w:hint="eastAsia" w:ascii="仿宋" w:hAnsi="仿宋" w:eastAsia="仿宋" w:cs="仿宋"/>
          <w:sz w:val="24"/>
        </w:rPr>
        <w:t>（6）肠菌油剂</w:t>
      </w:r>
      <w:r>
        <w:rPr>
          <w:rFonts w:hint="eastAsia" w:ascii="仿宋" w:hAnsi="仿宋" w:eastAsia="仿宋" w:cs="宋体"/>
          <w:bCs/>
          <w:sz w:val="24"/>
        </w:rPr>
        <w:t>细菌活性≥80%</w:t>
      </w:r>
    </w:p>
    <w:p>
      <w:pPr>
        <w:spacing w:line="520" w:lineRule="exact"/>
        <w:rPr>
          <w:rFonts w:ascii="仿宋" w:hAnsi="仿宋" w:eastAsia="仿宋" w:cs="仿宋"/>
          <w:kern w:val="0"/>
          <w:sz w:val="24"/>
          <w:lang w:bidi="ar"/>
        </w:rPr>
      </w:pPr>
      <w:r>
        <w:rPr>
          <w:rFonts w:hint="eastAsia" w:ascii="仿宋" w:hAnsi="仿宋" w:eastAsia="仿宋" w:cs="仿宋"/>
          <w:bCs/>
          <w:sz w:val="24"/>
        </w:rPr>
        <w:t>（7）肠菌微胶囊</w:t>
      </w:r>
      <w:r>
        <w:rPr>
          <w:rFonts w:hint="eastAsia" w:ascii="仿宋" w:hAnsi="仿宋" w:eastAsia="仿宋" w:cs="仿宋"/>
          <w:sz w:val="24"/>
        </w:rPr>
        <w:t>活菌含量&gt;</w:t>
      </w:r>
      <w:r>
        <w:rPr>
          <w:rFonts w:hint="eastAsia" w:ascii="仿宋" w:hAnsi="仿宋" w:eastAsia="仿宋" w:cs="仿宋"/>
          <w:kern w:val="0"/>
          <w:sz w:val="24"/>
          <w:lang w:bidi="ar"/>
        </w:rPr>
        <w:t>1.5×10</w:t>
      </w:r>
      <w:r>
        <w:rPr>
          <w:rFonts w:hint="eastAsia" w:ascii="仿宋" w:hAnsi="仿宋" w:eastAsia="仿宋" w:cs="仿宋"/>
          <w:kern w:val="0"/>
          <w:sz w:val="24"/>
          <w:vertAlign w:val="superscript"/>
          <w:lang w:bidi="ar"/>
        </w:rPr>
        <w:t>10</w:t>
      </w:r>
      <w:r>
        <w:rPr>
          <w:rFonts w:hint="eastAsia" w:ascii="仿宋" w:hAnsi="仿宋" w:eastAsia="仿宋" w:cs="仿宋"/>
          <w:sz w:val="24"/>
        </w:rPr>
        <w:t>cfu/</w:t>
      </w:r>
      <w:r>
        <w:rPr>
          <w:rFonts w:hint="eastAsia" w:ascii="仿宋" w:hAnsi="仿宋" w:eastAsia="仿宋" w:cs="仿宋"/>
          <w:kern w:val="0"/>
          <w:sz w:val="24"/>
          <w:lang w:bidi="ar"/>
        </w:rPr>
        <w:t>ml</w:t>
      </w:r>
    </w:p>
    <w:p>
      <w:pPr>
        <w:spacing w:line="520" w:lineRule="exact"/>
        <w:rPr>
          <w:rFonts w:ascii="仿宋" w:hAnsi="仿宋" w:eastAsia="仿宋" w:cs="宋体"/>
          <w:bCs/>
          <w:sz w:val="24"/>
        </w:rPr>
      </w:pPr>
      <w:r>
        <w:rPr>
          <w:rFonts w:hint="eastAsia" w:ascii="仿宋" w:hAnsi="仿宋" w:eastAsia="仿宋" w:cs="仿宋"/>
          <w:kern w:val="0"/>
          <w:sz w:val="24"/>
          <w:lang w:bidi="ar"/>
        </w:rPr>
        <w:t>（8）</w:t>
      </w:r>
      <w:r>
        <w:rPr>
          <w:rFonts w:hint="eastAsia" w:ascii="仿宋" w:hAnsi="仿宋" w:eastAsia="仿宋" w:cs="仿宋"/>
          <w:sz w:val="24"/>
        </w:rPr>
        <w:t>肠菌油剂</w:t>
      </w:r>
      <w:r>
        <w:rPr>
          <w:rFonts w:hint="eastAsia" w:ascii="仿宋" w:hAnsi="仿宋" w:eastAsia="仿宋" w:cs="宋体"/>
          <w:bCs/>
          <w:sz w:val="24"/>
        </w:rPr>
        <w:t>细菌活性≥80%</w:t>
      </w:r>
    </w:p>
    <w:p>
      <w:pPr>
        <w:spacing w:line="520" w:lineRule="exact"/>
        <w:rPr>
          <w:rFonts w:ascii="仿宋" w:hAnsi="仿宋" w:eastAsia="仿宋" w:cs="宋体"/>
          <w:bCs/>
          <w:kern w:val="0"/>
          <w:sz w:val="24"/>
          <w:lang w:bidi="ar"/>
        </w:rPr>
      </w:pPr>
      <w:r>
        <w:rPr>
          <w:rFonts w:hint="eastAsia" w:ascii="仿宋" w:hAnsi="仿宋" w:eastAsia="仿宋" w:cs="宋体"/>
          <w:bCs/>
          <w:kern w:val="0"/>
          <w:sz w:val="24"/>
          <w:lang w:bidi="ar"/>
        </w:rPr>
        <w:t>（9）多样性评分 30-100，菌种数量不低于200-2000</w:t>
      </w:r>
    </w:p>
    <w:p>
      <w:pPr>
        <w:spacing w:line="520" w:lineRule="exact"/>
        <w:rPr>
          <w:rFonts w:ascii="仿宋" w:hAnsi="仿宋" w:eastAsia="仿宋" w:cs="宋体"/>
          <w:bCs/>
          <w:kern w:val="0"/>
          <w:sz w:val="24"/>
          <w:lang w:bidi="ar"/>
        </w:rPr>
      </w:pPr>
      <w:r>
        <w:rPr>
          <w:rFonts w:hint="eastAsia" w:ascii="仿宋" w:hAnsi="仿宋" w:eastAsia="仿宋" w:cs="宋体"/>
          <w:bCs/>
          <w:kern w:val="0"/>
          <w:sz w:val="24"/>
          <w:lang w:bidi="ar"/>
        </w:rPr>
        <w:t>（10）肠型类型为瘤胃球菌型、拟杆菌型、普雷沃氏菌型等肠型的供体</w:t>
      </w:r>
    </w:p>
    <w:p>
      <w:pPr>
        <w:spacing w:line="520" w:lineRule="exact"/>
        <w:rPr>
          <w:rFonts w:ascii="仿宋" w:hAnsi="仿宋" w:eastAsia="仿宋" w:cs="宋体"/>
          <w:bCs/>
          <w:sz w:val="24"/>
        </w:rPr>
      </w:pPr>
      <w:r>
        <w:rPr>
          <w:rFonts w:hint="eastAsia" w:ascii="仿宋" w:hAnsi="仿宋" w:eastAsia="仿宋" w:cs="宋体"/>
          <w:bCs/>
          <w:kern w:val="0"/>
          <w:sz w:val="24"/>
          <w:lang w:bidi="ar"/>
        </w:rPr>
        <w:t>（11）多重耐药菌分析，MRSA,vanA，vanB，KPC等检测结果均为阴性</w:t>
      </w:r>
    </w:p>
    <w:p>
      <w:pPr>
        <w:spacing w:line="520" w:lineRule="exact"/>
        <w:rPr>
          <w:rFonts w:ascii="仿宋" w:hAnsi="仿宋" w:eastAsia="仿宋"/>
        </w:rPr>
      </w:pPr>
      <w:r>
        <w:rPr>
          <w:rFonts w:hint="eastAsia" w:ascii="仿宋" w:hAnsi="仿宋" w:eastAsia="仿宋" w:cs="宋体"/>
          <w:bCs/>
          <w:sz w:val="24"/>
        </w:rPr>
        <w:t>（12）有害菌指标要求</w:t>
      </w:r>
      <w:r>
        <w:rPr>
          <w:rFonts w:hint="eastAsia" w:ascii="仿宋" w:hAnsi="仿宋" w:eastAsia="仿宋"/>
        </w:rPr>
        <w:t xml:space="preserve"> </w:t>
      </w:r>
    </w:p>
    <w:tbl>
      <w:tblPr>
        <w:tblStyle w:val="17"/>
        <w:tblpPr w:leftFromText="180" w:rightFromText="180" w:vertAnchor="text" w:horzAnchor="page" w:tblpX="2085" w:tblpY="97"/>
        <w:tblOverlap w:val="never"/>
        <w:tblW w:w="7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3"/>
        <w:gridCol w:w="2375"/>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710" w:type="dxa"/>
            <w:gridSpan w:val="3"/>
            <w:tcBorders>
              <w:top w:val="single" w:color="auto" w:sz="4" w:space="0"/>
            </w:tcBorders>
          </w:tcPr>
          <w:p>
            <w:pPr>
              <w:jc w:val="left"/>
              <w:rPr>
                <w:rFonts w:ascii="仿宋" w:hAnsi="仿宋" w:eastAsia="仿宋"/>
              </w:rPr>
            </w:pPr>
            <w:r>
              <w:rPr>
                <w:rFonts w:hint="eastAsia" w:ascii="仿宋" w:hAnsi="仿宋" w:eastAsia="仿宋"/>
              </w:rPr>
              <w:t>有害菌检出情况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3513" w:type="dxa"/>
          </w:tcPr>
          <w:p>
            <w:pPr>
              <w:jc w:val="left"/>
              <w:rPr>
                <w:rFonts w:ascii="仿宋" w:hAnsi="仿宋" w:eastAsia="仿宋"/>
              </w:rPr>
            </w:pPr>
            <w:r>
              <w:rPr>
                <w:rFonts w:hint="eastAsia" w:ascii="仿宋" w:hAnsi="仿宋" w:eastAsia="仿宋"/>
              </w:rPr>
              <w:t>名称</w:t>
            </w:r>
          </w:p>
        </w:tc>
        <w:tc>
          <w:tcPr>
            <w:tcW w:w="2375" w:type="dxa"/>
          </w:tcPr>
          <w:p>
            <w:pPr>
              <w:jc w:val="left"/>
              <w:rPr>
                <w:rFonts w:ascii="仿宋" w:hAnsi="仿宋" w:eastAsia="仿宋"/>
              </w:rPr>
            </w:pPr>
            <w:r>
              <w:rPr>
                <w:rFonts w:hint="eastAsia" w:ascii="仿宋" w:hAnsi="仿宋" w:eastAsia="仿宋"/>
              </w:rPr>
              <w:t>标准</w:t>
            </w:r>
          </w:p>
        </w:tc>
        <w:tc>
          <w:tcPr>
            <w:tcW w:w="1822" w:type="dxa"/>
          </w:tcPr>
          <w:p>
            <w:pPr>
              <w:jc w:val="left"/>
              <w:rPr>
                <w:rFonts w:ascii="仿宋" w:hAnsi="仿宋" w:eastAsia="仿宋"/>
              </w:rPr>
            </w:pPr>
            <w:r>
              <w:rPr>
                <w:rFonts w:hint="eastAsia" w:ascii="仿宋" w:hAnsi="仿宋" w:eastAsia="仿宋"/>
              </w:rPr>
              <w:t>检测结果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幽门螺旋杆菌</w:t>
            </w:r>
          </w:p>
        </w:tc>
        <w:tc>
          <w:tcPr>
            <w:tcW w:w="2375" w:type="dxa"/>
          </w:tcPr>
          <w:p>
            <w:pPr>
              <w:jc w:val="left"/>
              <w:rPr>
                <w:rFonts w:ascii="仿宋" w:hAnsi="仿宋" w:eastAsia="仿宋"/>
              </w:rPr>
            </w:pPr>
            <w:r>
              <w:rPr>
                <w:rFonts w:hint="eastAsia" w:ascii="仿宋" w:hAnsi="仿宋" w:eastAsia="仿宋"/>
              </w:rPr>
              <w:t>阴性</w:t>
            </w:r>
          </w:p>
        </w:tc>
        <w:tc>
          <w:tcPr>
            <w:tcW w:w="1822" w:type="dxa"/>
          </w:tcPr>
          <w:p>
            <w:pPr>
              <w:jc w:val="left"/>
              <w:rPr>
                <w:rFonts w:ascii="仿宋" w:hAnsi="仿宋" w:eastAsia="仿宋"/>
              </w:rPr>
            </w:pPr>
            <w:r>
              <w:rPr>
                <w:rFonts w:hint="eastAsia" w:ascii="仿宋" w:hAnsi="仿宋" w:eastAsia="仿宋"/>
              </w:rPr>
              <w:t>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便隐血</w:t>
            </w:r>
          </w:p>
        </w:tc>
        <w:tc>
          <w:tcPr>
            <w:tcW w:w="2375" w:type="dxa"/>
          </w:tcPr>
          <w:p>
            <w:pPr>
              <w:jc w:val="left"/>
              <w:rPr>
                <w:rFonts w:ascii="仿宋" w:hAnsi="仿宋" w:eastAsia="仿宋"/>
              </w:rPr>
            </w:pPr>
            <w:r>
              <w:rPr>
                <w:rFonts w:hint="eastAsia" w:ascii="仿宋" w:hAnsi="仿宋" w:eastAsia="仿宋"/>
              </w:rPr>
              <w:t>阴性</w:t>
            </w:r>
          </w:p>
        </w:tc>
        <w:tc>
          <w:tcPr>
            <w:tcW w:w="1822" w:type="dxa"/>
          </w:tcPr>
          <w:p>
            <w:pPr>
              <w:jc w:val="left"/>
              <w:rPr>
                <w:rFonts w:ascii="仿宋" w:hAnsi="仿宋" w:eastAsia="仿宋"/>
              </w:rPr>
            </w:pPr>
            <w:r>
              <w:rPr>
                <w:rFonts w:hint="eastAsia" w:ascii="仿宋" w:hAnsi="仿宋" w:eastAsia="仿宋"/>
              </w:rPr>
              <w:t>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轮状病毒</w:t>
            </w:r>
          </w:p>
        </w:tc>
        <w:tc>
          <w:tcPr>
            <w:tcW w:w="2375" w:type="dxa"/>
          </w:tcPr>
          <w:p>
            <w:pPr>
              <w:jc w:val="left"/>
              <w:rPr>
                <w:rFonts w:ascii="仿宋" w:hAnsi="仿宋" w:eastAsia="仿宋"/>
              </w:rPr>
            </w:pPr>
            <w:r>
              <w:rPr>
                <w:rFonts w:hint="eastAsia" w:ascii="仿宋" w:hAnsi="仿宋" w:eastAsia="仿宋"/>
              </w:rPr>
              <w:t>阴性</w:t>
            </w:r>
          </w:p>
        </w:tc>
        <w:tc>
          <w:tcPr>
            <w:tcW w:w="1822" w:type="dxa"/>
          </w:tcPr>
          <w:p>
            <w:pPr>
              <w:jc w:val="left"/>
              <w:rPr>
                <w:rFonts w:ascii="仿宋" w:hAnsi="仿宋" w:eastAsia="仿宋"/>
              </w:rPr>
            </w:pPr>
            <w:r>
              <w:rPr>
                <w:rFonts w:hint="eastAsia" w:ascii="仿宋" w:hAnsi="仿宋" w:eastAsia="仿宋"/>
              </w:rPr>
              <w:t>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腺病毒</w:t>
            </w:r>
          </w:p>
        </w:tc>
        <w:tc>
          <w:tcPr>
            <w:tcW w:w="2375" w:type="dxa"/>
          </w:tcPr>
          <w:p>
            <w:pPr>
              <w:jc w:val="left"/>
              <w:rPr>
                <w:rFonts w:ascii="仿宋" w:hAnsi="仿宋" w:eastAsia="仿宋"/>
              </w:rPr>
            </w:pPr>
            <w:r>
              <w:rPr>
                <w:rFonts w:hint="eastAsia" w:ascii="仿宋" w:hAnsi="仿宋" w:eastAsia="仿宋"/>
              </w:rPr>
              <w:t>阴性</w:t>
            </w:r>
          </w:p>
        </w:tc>
        <w:tc>
          <w:tcPr>
            <w:tcW w:w="1822" w:type="dxa"/>
          </w:tcPr>
          <w:p>
            <w:pPr>
              <w:jc w:val="left"/>
              <w:rPr>
                <w:rFonts w:ascii="仿宋" w:hAnsi="仿宋" w:eastAsia="仿宋"/>
              </w:rPr>
            </w:pPr>
            <w:r>
              <w:rPr>
                <w:rFonts w:hint="eastAsia" w:ascii="仿宋" w:hAnsi="仿宋" w:eastAsia="仿宋"/>
              </w:rPr>
              <w:t>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诺如病毒</w:t>
            </w:r>
          </w:p>
        </w:tc>
        <w:tc>
          <w:tcPr>
            <w:tcW w:w="2375" w:type="dxa"/>
          </w:tcPr>
          <w:p>
            <w:pPr>
              <w:jc w:val="left"/>
              <w:rPr>
                <w:rFonts w:ascii="仿宋" w:hAnsi="仿宋" w:eastAsia="仿宋"/>
              </w:rPr>
            </w:pPr>
            <w:r>
              <w:rPr>
                <w:rFonts w:hint="eastAsia" w:ascii="仿宋" w:hAnsi="仿宋" w:eastAsia="仿宋"/>
              </w:rPr>
              <w:t>阴性</w:t>
            </w:r>
          </w:p>
        </w:tc>
        <w:tc>
          <w:tcPr>
            <w:tcW w:w="1822" w:type="dxa"/>
          </w:tcPr>
          <w:p>
            <w:pPr>
              <w:jc w:val="left"/>
              <w:rPr>
                <w:rFonts w:ascii="仿宋" w:hAnsi="仿宋" w:eastAsia="仿宋"/>
              </w:rPr>
            </w:pPr>
            <w:r>
              <w:rPr>
                <w:rFonts w:hint="eastAsia" w:ascii="仿宋" w:hAnsi="仿宋" w:eastAsia="仿宋"/>
              </w:rPr>
              <w:t>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沙门氏菌</w:t>
            </w:r>
          </w:p>
        </w:tc>
        <w:tc>
          <w:tcPr>
            <w:tcW w:w="2375" w:type="dxa"/>
          </w:tcPr>
          <w:p>
            <w:pPr>
              <w:jc w:val="left"/>
              <w:rPr>
                <w:rFonts w:ascii="仿宋" w:hAnsi="仿宋" w:eastAsia="仿宋"/>
              </w:rPr>
            </w:pPr>
            <w:r>
              <w:rPr>
                <w:rFonts w:hint="eastAsia" w:ascii="仿宋" w:hAnsi="仿宋" w:eastAsia="仿宋"/>
              </w:rPr>
              <w:t>不得检出</w:t>
            </w:r>
          </w:p>
        </w:tc>
        <w:tc>
          <w:tcPr>
            <w:tcW w:w="1822" w:type="dxa"/>
          </w:tcPr>
          <w:p>
            <w:pPr>
              <w:jc w:val="left"/>
              <w:rPr>
                <w:rFonts w:ascii="仿宋" w:hAnsi="仿宋" w:eastAsia="仿宋"/>
              </w:rPr>
            </w:pPr>
            <w:r>
              <w:rPr>
                <w:rFonts w:hint="eastAsia" w:ascii="仿宋" w:hAnsi="仿宋" w:eastAsia="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志贺氏菌</w:t>
            </w:r>
          </w:p>
        </w:tc>
        <w:tc>
          <w:tcPr>
            <w:tcW w:w="2375" w:type="dxa"/>
          </w:tcPr>
          <w:p>
            <w:pPr>
              <w:jc w:val="left"/>
              <w:rPr>
                <w:rFonts w:ascii="仿宋" w:hAnsi="仿宋" w:eastAsia="仿宋"/>
              </w:rPr>
            </w:pPr>
            <w:r>
              <w:rPr>
                <w:rFonts w:hint="eastAsia" w:ascii="仿宋" w:hAnsi="仿宋" w:eastAsia="仿宋"/>
              </w:rPr>
              <w:t>不得检出</w:t>
            </w:r>
          </w:p>
        </w:tc>
        <w:tc>
          <w:tcPr>
            <w:tcW w:w="1822" w:type="dxa"/>
          </w:tcPr>
          <w:p>
            <w:pPr>
              <w:jc w:val="left"/>
              <w:rPr>
                <w:rFonts w:ascii="仿宋" w:hAnsi="仿宋" w:eastAsia="仿宋"/>
              </w:rPr>
            </w:pPr>
            <w:r>
              <w:rPr>
                <w:rFonts w:hint="eastAsia" w:ascii="仿宋" w:hAnsi="仿宋" w:eastAsia="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金黄色葡萄球菌</w:t>
            </w:r>
          </w:p>
        </w:tc>
        <w:tc>
          <w:tcPr>
            <w:tcW w:w="2375" w:type="dxa"/>
          </w:tcPr>
          <w:p>
            <w:pPr>
              <w:jc w:val="left"/>
              <w:rPr>
                <w:rFonts w:ascii="仿宋" w:hAnsi="仿宋" w:eastAsia="仿宋"/>
              </w:rPr>
            </w:pPr>
            <w:r>
              <w:rPr>
                <w:rFonts w:hint="eastAsia" w:ascii="仿宋" w:hAnsi="仿宋" w:eastAsia="仿宋"/>
              </w:rPr>
              <w:t>不得检出</w:t>
            </w:r>
          </w:p>
        </w:tc>
        <w:tc>
          <w:tcPr>
            <w:tcW w:w="1822" w:type="dxa"/>
          </w:tcPr>
          <w:p>
            <w:pPr>
              <w:jc w:val="left"/>
              <w:rPr>
                <w:rFonts w:ascii="仿宋" w:hAnsi="仿宋" w:eastAsia="仿宋"/>
              </w:rPr>
            </w:pPr>
            <w:r>
              <w:rPr>
                <w:rFonts w:hint="eastAsia" w:ascii="仿宋" w:hAnsi="仿宋" w:eastAsia="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Pr>
          <w:p>
            <w:pPr>
              <w:jc w:val="left"/>
              <w:rPr>
                <w:rFonts w:ascii="仿宋" w:hAnsi="仿宋" w:eastAsia="仿宋"/>
              </w:rPr>
            </w:pPr>
            <w:r>
              <w:rPr>
                <w:rFonts w:hint="eastAsia" w:ascii="仿宋" w:hAnsi="仿宋" w:eastAsia="仿宋"/>
              </w:rPr>
              <w:t>铜绿假单胞菌</w:t>
            </w:r>
          </w:p>
        </w:tc>
        <w:tc>
          <w:tcPr>
            <w:tcW w:w="2375" w:type="dxa"/>
          </w:tcPr>
          <w:p>
            <w:pPr>
              <w:jc w:val="left"/>
              <w:rPr>
                <w:rFonts w:ascii="仿宋" w:hAnsi="仿宋" w:eastAsia="仿宋"/>
              </w:rPr>
            </w:pPr>
            <w:r>
              <w:rPr>
                <w:rFonts w:hint="eastAsia" w:ascii="仿宋" w:hAnsi="仿宋" w:eastAsia="仿宋"/>
              </w:rPr>
              <w:t>不得检出</w:t>
            </w:r>
          </w:p>
        </w:tc>
        <w:tc>
          <w:tcPr>
            <w:tcW w:w="1822" w:type="dxa"/>
          </w:tcPr>
          <w:p>
            <w:pPr>
              <w:jc w:val="left"/>
              <w:rPr>
                <w:rFonts w:ascii="仿宋" w:hAnsi="仿宋" w:eastAsia="仿宋"/>
              </w:rPr>
            </w:pPr>
            <w:r>
              <w:rPr>
                <w:rFonts w:hint="eastAsia" w:ascii="仿宋" w:hAnsi="仿宋" w:eastAsia="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13" w:type="dxa"/>
          </w:tcPr>
          <w:p>
            <w:pPr>
              <w:jc w:val="left"/>
              <w:rPr>
                <w:rFonts w:ascii="仿宋" w:hAnsi="仿宋" w:eastAsia="仿宋"/>
              </w:rPr>
            </w:pPr>
            <w:r>
              <w:rPr>
                <w:rFonts w:hint="eastAsia" w:ascii="仿宋" w:hAnsi="仿宋" w:eastAsia="仿宋"/>
              </w:rPr>
              <w:t>白色念珠菌</w:t>
            </w:r>
          </w:p>
        </w:tc>
        <w:tc>
          <w:tcPr>
            <w:tcW w:w="2375" w:type="dxa"/>
          </w:tcPr>
          <w:p>
            <w:pPr>
              <w:jc w:val="left"/>
              <w:rPr>
                <w:rFonts w:ascii="仿宋" w:hAnsi="仿宋" w:eastAsia="仿宋"/>
              </w:rPr>
            </w:pPr>
            <w:r>
              <w:rPr>
                <w:rFonts w:hint="eastAsia" w:ascii="仿宋" w:hAnsi="仿宋" w:eastAsia="仿宋"/>
              </w:rPr>
              <w:t>不得检出</w:t>
            </w:r>
          </w:p>
        </w:tc>
        <w:tc>
          <w:tcPr>
            <w:tcW w:w="1822" w:type="dxa"/>
          </w:tcPr>
          <w:p>
            <w:pPr>
              <w:jc w:val="left"/>
              <w:rPr>
                <w:rFonts w:ascii="仿宋" w:hAnsi="仿宋" w:eastAsia="仿宋"/>
              </w:rPr>
            </w:pPr>
            <w:r>
              <w:rPr>
                <w:rFonts w:hint="eastAsia" w:ascii="仿宋" w:hAnsi="仿宋" w:eastAsia="仿宋"/>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13" w:type="dxa"/>
            <w:tcBorders>
              <w:bottom w:val="single" w:color="auto" w:sz="4" w:space="0"/>
            </w:tcBorders>
          </w:tcPr>
          <w:p>
            <w:pPr>
              <w:jc w:val="left"/>
              <w:rPr>
                <w:rFonts w:ascii="仿宋" w:hAnsi="仿宋" w:eastAsia="仿宋"/>
              </w:rPr>
            </w:pPr>
            <w:r>
              <w:rPr>
                <w:rFonts w:hint="eastAsia" w:ascii="仿宋" w:hAnsi="仿宋" w:eastAsia="仿宋"/>
              </w:rPr>
              <w:t>霉菌</w:t>
            </w:r>
          </w:p>
        </w:tc>
        <w:tc>
          <w:tcPr>
            <w:tcW w:w="2375" w:type="dxa"/>
            <w:tcBorders>
              <w:bottom w:val="single" w:color="auto" w:sz="4" w:space="0"/>
            </w:tcBorders>
          </w:tcPr>
          <w:p>
            <w:pPr>
              <w:jc w:val="left"/>
              <w:rPr>
                <w:rFonts w:ascii="仿宋" w:hAnsi="仿宋" w:eastAsia="仿宋"/>
              </w:rPr>
            </w:pPr>
            <w:r>
              <w:rPr>
                <w:rFonts w:hint="eastAsia" w:ascii="仿宋" w:hAnsi="仿宋" w:eastAsia="仿宋"/>
              </w:rPr>
              <w:t>≤100( CFU/g )</w:t>
            </w:r>
          </w:p>
        </w:tc>
        <w:tc>
          <w:tcPr>
            <w:tcW w:w="1822" w:type="dxa"/>
            <w:tcBorders>
              <w:bottom w:val="single" w:color="auto" w:sz="4" w:space="0"/>
            </w:tcBorders>
          </w:tcPr>
          <w:p>
            <w:pPr>
              <w:jc w:val="left"/>
              <w:rPr>
                <w:rFonts w:ascii="仿宋" w:hAnsi="仿宋" w:eastAsia="仿宋"/>
              </w:rPr>
            </w:pPr>
            <w:r>
              <w:rPr>
                <w:rFonts w:hint="eastAsia" w:ascii="仿宋" w:hAnsi="仿宋" w:eastAsia="仿宋"/>
              </w:rPr>
              <w:t>无</w:t>
            </w:r>
          </w:p>
        </w:tc>
      </w:tr>
    </w:tbl>
    <w:p>
      <w:pPr>
        <w:adjustRightInd w:val="0"/>
        <w:snapToGrid w:val="0"/>
        <w:spacing w:line="520" w:lineRule="exact"/>
        <w:outlineLvl w:val="1"/>
        <w:rPr>
          <w:rFonts w:ascii="仿宋" w:hAnsi="仿宋" w:eastAsia="仿宋" w:cs="宋体"/>
          <w:bCs/>
          <w:kern w:val="0"/>
          <w:sz w:val="24"/>
          <w:szCs w:val="28"/>
        </w:rPr>
      </w:pPr>
    </w:p>
    <w:p>
      <w:pPr>
        <w:adjustRightInd w:val="0"/>
        <w:snapToGrid w:val="0"/>
        <w:spacing w:line="520" w:lineRule="exact"/>
        <w:outlineLvl w:val="1"/>
        <w:rPr>
          <w:rFonts w:ascii="仿宋" w:hAnsi="仿宋" w:eastAsia="仿宋" w:cs="宋体"/>
          <w:bCs/>
          <w:kern w:val="0"/>
          <w:sz w:val="24"/>
          <w:szCs w:val="28"/>
        </w:rPr>
      </w:pPr>
    </w:p>
    <w:p>
      <w:pPr>
        <w:adjustRightInd w:val="0"/>
        <w:snapToGrid w:val="0"/>
        <w:spacing w:line="520" w:lineRule="exact"/>
        <w:outlineLvl w:val="1"/>
        <w:rPr>
          <w:rFonts w:ascii="仿宋" w:hAnsi="仿宋" w:eastAsia="仿宋" w:cs="宋体"/>
          <w:bCs/>
          <w:kern w:val="0"/>
          <w:sz w:val="24"/>
          <w:szCs w:val="28"/>
        </w:rPr>
      </w:pPr>
    </w:p>
    <w:p>
      <w:pPr>
        <w:adjustRightInd w:val="0"/>
        <w:snapToGrid w:val="0"/>
        <w:spacing w:line="520" w:lineRule="exact"/>
        <w:outlineLvl w:val="1"/>
        <w:rPr>
          <w:rFonts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hint="eastAsia" w:ascii="仿宋" w:hAnsi="仿宋" w:eastAsia="仿宋" w:cs="宋体"/>
          <w:bCs/>
          <w:kern w:val="0"/>
          <w:sz w:val="24"/>
          <w:szCs w:val="28"/>
        </w:rPr>
      </w:pPr>
    </w:p>
    <w:p>
      <w:pPr>
        <w:adjustRightInd w:val="0"/>
        <w:snapToGrid w:val="0"/>
        <w:spacing w:line="520" w:lineRule="exact"/>
        <w:outlineLvl w:val="1"/>
        <w:rPr>
          <w:rFonts w:ascii="仿宋" w:hAnsi="仿宋" w:eastAsia="仿宋" w:cs="宋体"/>
          <w:bCs/>
          <w:kern w:val="0"/>
          <w:sz w:val="24"/>
          <w:szCs w:val="28"/>
        </w:rPr>
      </w:pPr>
      <w:bookmarkStart w:id="15" w:name="_GoBack"/>
      <w:bookmarkEnd w:id="15"/>
      <w:r>
        <w:rPr>
          <w:rFonts w:hint="eastAsia" w:ascii="仿宋" w:hAnsi="仿宋" w:eastAsia="仿宋" w:cs="宋体"/>
          <w:bCs/>
          <w:kern w:val="0"/>
          <w:sz w:val="24"/>
          <w:szCs w:val="28"/>
        </w:rPr>
        <w:t>（三）</w:t>
      </w:r>
      <w:bookmarkEnd w:id="10"/>
      <w:bookmarkEnd w:id="11"/>
      <w:bookmarkEnd w:id="12"/>
      <w:bookmarkEnd w:id="13"/>
      <w:bookmarkEnd w:id="14"/>
      <w:r>
        <w:rPr>
          <w:rFonts w:hint="eastAsia" w:ascii="仿宋" w:hAnsi="仿宋" w:eastAsia="仿宋" w:cs="宋体"/>
          <w:bCs/>
          <w:kern w:val="0"/>
          <w:sz w:val="24"/>
          <w:szCs w:val="28"/>
        </w:rPr>
        <w:t>实验室及管理要求</w:t>
      </w:r>
    </w:p>
    <w:p>
      <w:pPr>
        <w:spacing w:line="520" w:lineRule="exact"/>
        <w:rPr>
          <w:rFonts w:ascii="仿宋" w:hAnsi="仿宋" w:eastAsia="仿宋" w:cs="宋体"/>
          <w:bCs/>
          <w:kern w:val="0"/>
          <w:sz w:val="24"/>
          <w:szCs w:val="28"/>
        </w:rPr>
      </w:pPr>
      <w:r>
        <w:rPr>
          <w:rFonts w:hint="eastAsia" w:ascii="仿宋" w:hAnsi="仿宋" w:eastAsia="仿宋" w:cs="宋体"/>
          <w:bCs/>
          <w:kern w:val="0"/>
          <w:sz w:val="24"/>
          <w:szCs w:val="28"/>
        </w:rPr>
        <w:t>1.具备完善信息化管理系统，具备溯源系统（</w:t>
      </w:r>
      <w:r>
        <w:rPr>
          <w:rFonts w:hint="eastAsia" w:ascii="仿宋" w:hAnsi="仿宋" w:eastAsia="仿宋" w:cs="宋体"/>
          <w:bCs/>
          <w:sz w:val="24"/>
          <w:szCs w:val="28"/>
        </w:rPr>
        <w:t>提供相关证明</w:t>
      </w:r>
      <w:r>
        <w:rPr>
          <w:rFonts w:hint="eastAsia" w:ascii="仿宋" w:hAnsi="仿宋" w:eastAsia="仿宋" w:cs="宋体"/>
          <w:bCs/>
          <w:kern w:val="0"/>
          <w:sz w:val="24"/>
          <w:szCs w:val="28"/>
        </w:rPr>
        <w:t>）</w:t>
      </w:r>
    </w:p>
    <w:p>
      <w:pPr>
        <w:spacing w:line="520" w:lineRule="exact"/>
        <w:rPr>
          <w:rFonts w:ascii="仿宋" w:hAnsi="仿宋" w:eastAsia="仿宋" w:cs="宋体"/>
          <w:bCs/>
          <w:color w:val="000000" w:themeColor="text1"/>
          <w:sz w:val="24"/>
          <w:szCs w:val="28"/>
          <w14:textFill>
            <w14:solidFill>
              <w14:schemeClr w14:val="tx1"/>
            </w14:solidFill>
          </w14:textFill>
        </w:rPr>
      </w:pPr>
      <w:r>
        <w:rPr>
          <w:rFonts w:hint="eastAsia" w:ascii="仿宋" w:hAnsi="仿宋" w:eastAsia="仿宋" w:cs="宋体"/>
          <w:bCs/>
          <w:color w:val="000000" w:themeColor="text1"/>
          <w:sz w:val="24"/>
          <w:szCs w:val="28"/>
          <w14:textFill>
            <w14:solidFill>
              <w14:schemeClr w14:val="tx1"/>
            </w14:solidFill>
          </w14:textFill>
        </w:rPr>
        <w:t>2.具备国家认证的病原微生物实验室资质</w:t>
      </w:r>
      <w:r>
        <w:rPr>
          <w:rFonts w:hint="eastAsia" w:ascii="仿宋" w:hAnsi="仿宋" w:eastAsia="仿宋" w:cs="宋体"/>
          <w:bCs/>
          <w:kern w:val="0"/>
          <w:sz w:val="24"/>
          <w:szCs w:val="28"/>
        </w:rPr>
        <w:t>（</w:t>
      </w:r>
      <w:r>
        <w:rPr>
          <w:rFonts w:hint="eastAsia" w:ascii="仿宋" w:hAnsi="仿宋" w:eastAsia="仿宋" w:cs="宋体"/>
          <w:bCs/>
          <w:color w:val="000000" w:themeColor="text1"/>
          <w:sz w:val="24"/>
          <w:szCs w:val="28"/>
          <w14:textFill>
            <w14:solidFill>
              <w14:schemeClr w14:val="tx1"/>
            </w14:solidFill>
          </w14:textFill>
        </w:rPr>
        <w:t>提供相关证明</w:t>
      </w:r>
      <w:r>
        <w:rPr>
          <w:rFonts w:hint="eastAsia" w:ascii="仿宋" w:hAnsi="仿宋" w:eastAsia="仿宋" w:cs="宋体"/>
          <w:bCs/>
          <w:kern w:val="0"/>
          <w:sz w:val="24"/>
          <w:szCs w:val="28"/>
        </w:rPr>
        <w:t>）</w:t>
      </w:r>
    </w:p>
    <w:p>
      <w:pPr>
        <w:spacing w:line="520" w:lineRule="exact"/>
        <w:rPr>
          <w:rFonts w:ascii="仿宋" w:hAnsi="仿宋" w:eastAsia="仿宋" w:cs="宋体"/>
          <w:bCs/>
          <w:kern w:val="0"/>
          <w:sz w:val="24"/>
          <w:szCs w:val="28"/>
        </w:rPr>
      </w:pPr>
      <w:r>
        <w:rPr>
          <w:rFonts w:hint="eastAsia" w:ascii="仿宋" w:hAnsi="仿宋" w:eastAsia="仿宋" w:cs="宋体"/>
          <w:bCs/>
          <w:color w:val="000000" w:themeColor="text1"/>
          <w:sz w:val="24"/>
          <w:szCs w:val="28"/>
          <w14:textFill>
            <w14:solidFill>
              <w14:schemeClr w14:val="tx1"/>
            </w14:solidFill>
          </w14:textFill>
        </w:rPr>
        <w:t>3.</w:t>
      </w:r>
      <w:r>
        <w:rPr>
          <w:rFonts w:hint="eastAsia" w:ascii="仿宋" w:hAnsi="仿宋" w:eastAsia="仿宋" w:cs="宋体"/>
          <w:bCs/>
          <w:kern w:val="0"/>
          <w:sz w:val="24"/>
          <w:szCs w:val="28"/>
        </w:rPr>
        <w:t>具备完善质控体系及标准化的实验室SOP流程管理，包括实验室生物安全、应急处置预案、生物危险和实验室感染预防、菌（毒）种或样本管理、废弃物处置、消毒隔离与职业个人防护等。</w:t>
      </w:r>
    </w:p>
    <w:p>
      <w:pPr>
        <w:spacing w:line="520" w:lineRule="exact"/>
        <w:rPr>
          <w:rFonts w:ascii="仿宋" w:hAnsi="仿宋" w:eastAsia="仿宋" w:cs="宋体"/>
          <w:bCs/>
          <w:sz w:val="24"/>
          <w:szCs w:val="28"/>
        </w:rPr>
      </w:pPr>
      <w:r>
        <w:rPr>
          <w:rFonts w:hint="eastAsia" w:ascii="仿宋" w:hAnsi="仿宋" w:eastAsia="仿宋" w:cs="宋体"/>
          <w:bCs/>
          <w:kern w:val="0"/>
          <w:sz w:val="24"/>
          <w:szCs w:val="28"/>
        </w:rPr>
        <w:t>4.</w:t>
      </w:r>
      <w:r>
        <w:rPr>
          <w:rFonts w:hint="eastAsia" w:ascii="仿宋" w:hAnsi="仿宋" w:eastAsia="仿宋" w:cs="宋体"/>
          <w:bCs/>
          <w:sz w:val="24"/>
          <w:szCs w:val="28"/>
        </w:rPr>
        <w:t>实验室内空气洁净度应达到万级以上标准（提供第三方机构检测证明）。</w:t>
      </w:r>
    </w:p>
    <w:p>
      <w:pPr>
        <w:spacing w:line="520" w:lineRule="exact"/>
        <w:rPr>
          <w:rFonts w:ascii="仿宋" w:hAnsi="仿宋" w:eastAsia="仿宋" w:cs="宋体"/>
          <w:bCs/>
          <w:sz w:val="24"/>
          <w:szCs w:val="28"/>
        </w:rPr>
      </w:pPr>
      <w:r>
        <w:rPr>
          <w:rFonts w:hint="eastAsia" w:ascii="仿宋" w:hAnsi="仿宋" w:eastAsia="仿宋" w:cs="宋体"/>
          <w:bCs/>
          <w:sz w:val="24"/>
          <w:szCs w:val="28"/>
        </w:rPr>
        <w:t>（1）实验室温度在18～28℃，相对湿度在45～65%RH，噪声≤65dB，照度≥200 lx；</w:t>
      </w:r>
    </w:p>
    <w:p>
      <w:pPr>
        <w:spacing w:line="520" w:lineRule="exact"/>
        <w:rPr>
          <w:rFonts w:ascii="仿宋" w:hAnsi="仿宋" w:eastAsia="仿宋" w:cs="宋体"/>
          <w:bCs/>
          <w:sz w:val="24"/>
          <w:szCs w:val="28"/>
        </w:rPr>
      </w:pPr>
      <w:r>
        <w:rPr>
          <w:rFonts w:hint="eastAsia" w:ascii="仿宋" w:hAnsi="仿宋" w:eastAsia="仿宋" w:cs="宋体"/>
          <w:bCs/>
          <w:sz w:val="24"/>
          <w:szCs w:val="28"/>
        </w:rPr>
        <w:t>（2）静压差≥5Pa,换气次数≥20次/h；</w:t>
      </w:r>
    </w:p>
    <w:p>
      <w:pPr>
        <w:adjustRightInd w:val="0"/>
        <w:snapToGrid w:val="0"/>
        <w:spacing w:line="520" w:lineRule="exact"/>
        <w:outlineLvl w:val="1"/>
        <w:rPr>
          <w:rFonts w:ascii="仿宋" w:hAnsi="仿宋" w:eastAsia="仿宋" w:cs="宋体"/>
          <w:bCs/>
          <w:sz w:val="24"/>
          <w:szCs w:val="28"/>
        </w:rPr>
      </w:pPr>
      <w:r>
        <w:rPr>
          <w:rFonts w:hint="eastAsia" w:ascii="仿宋" w:hAnsi="仿宋" w:eastAsia="仿宋" w:cs="宋体"/>
          <w:bCs/>
          <w:sz w:val="24"/>
          <w:szCs w:val="28"/>
        </w:rPr>
        <w:t>（3）微生物：浮游菌≤100 CFU/m3，沉降菌≤3 CFU/ml，0.5h。</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5.实验室地面、台面、各种消毒后物品至少每季度进行监测，不得检出致病微生物</w:t>
      </w:r>
      <w:r>
        <w:rPr>
          <w:rFonts w:hint="eastAsia" w:ascii="仿宋" w:hAnsi="仿宋" w:eastAsia="仿宋" w:cs="宋体"/>
          <w:bCs/>
          <w:color w:val="000000" w:themeColor="text1"/>
          <w:sz w:val="24"/>
          <w:szCs w:val="28"/>
          <w14:textFill>
            <w14:solidFill>
              <w14:schemeClr w14:val="tx1"/>
            </w14:solidFill>
          </w14:textFill>
        </w:rPr>
        <w:t>（提供近1年的检测证明）</w:t>
      </w:r>
      <w:r>
        <w:rPr>
          <w:rFonts w:hint="eastAsia" w:ascii="仿宋" w:hAnsi="仿宋" w:eastAsia="仿宋" w:cs="宋体"/>
          <w:bCs/>
          <w:kern w:val="0"/>
          <w:sz w:val="24"/>
          <w:szCs w:val="28"/>
        </w:rPr>
        <w:t>。</w:t>
      </w:r>
    </w:p>
    <w:p>
      <w:pPr>
        <w:adjustRightInd w:val="0"/>
        <w:snapToGrid w:val="0"/>
        <w:spacing w:line="520" w:lineRule="exact"/>
        <w:outlineLvl w:val="1"/>
        <w:rPr>
          <w:rFonts w:ascii="仿宋" w:hAnsi="仿宋" w:eastAsia="仿宋" w:cs="宋体"/>
          <w:bCs/>
          <w:color w:val="0000FF"/>
          <w:kern w:val="0"/>
          <w:sz w:val="24"/>
          <w:szCs w:val="28"/>
        </w:rPr>
      </w:pPr>
      <w:r>
        <w:rPr>
          <w:rFonts w:hint="eastAsia" w:ascii="仿宋" w:hAnsi="仿宋" w:eastAsia="仿宋" w:cs="宋体"/>
          <w:bCs/>
          <w:sz w:val="24"/>
          <w:szCs w:val="28"/>
        </w:rPr>
        <w:t>6.具备完善的供体信息库，包含中国</w:t>
      </w:r>
      <w:r>
        <w:rPr>
          <w:rFonts w:hint="eastAsia" w:ascii="仿宋" w:hAnsi="仿宋" w:eastAsia="仿宋" w:cs="宋体"/>
          <w:bCs/>
          <w:kern w:val="0"/>
          <w:sz w:val="24"/>
          <w:szCs w:val="28"/>
        </w:rPr>
        <w:t>成人供体，中国儿童供体。</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（四）供应商资质要求</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1. 取得过肠道微生态领域相关发明专利/软件著作；</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2.经营期限内，近2年获得质量管理体系ISO9001、SNAS质量认证；</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3.</w:t>
      </w:r>
      <w:r>
        <w:rPr>
          <w:rFonts w:hint="eastAsia" w:ascii="仿宋" w:hAnsi="仿宋" w:eastAsia="仿宋"/>
        </w:rPr>
        <w:t xml:space="preserve"> </w:t>
      </w:r>
      <w:r>
        <w:rPr>
          <w:rFonts w:hint="eastAsia" w:ascii="仿宋" w:hAnsi="仿宋" w:eastAsia="仿宋" w:cs="宋体"/>
          <w:bCs/>
          <w:kern w:val="0"/>
          <w:sz w:val="24"/>
          <w:szCs w:val="28"/>
        </w:rPr>
        <w:t>具备与国内三甲医院开展多项菌群移植临床研究及多家临床医院菌群移植技术服务经验（</w:t>
      </w:r>
      <w:r>
        <w:rPr>
          <w:rFonts w:hint="eastAsia" w:ascii="仿宋" w:hAnsi="仿宋" w:eastAsia="仿宋" w:cs="宋体"/>
          <w:bCs/>
          <w:color w:val="000000" w:themeColor="text1"/>
          <w:sz w:val="24"/>
          <w:szCs w:val="28"/>
          <w14:textFill>
            <w14:solidFill>
              <w14:schemeClr w14:val="tx1"/>
            </w14:solidFill>
          </w14:textFill>
        </w:rPr>
        <w:t>提供相关证明</w:t>
      </w:r>
      <w:r>
        <w:rPr>
          <w:rFonts w:hint="eastAsia" w:ascii="仿宋" w:hAnsi="仿宋" w:eastAsia="仿宋" w:cs="宋体"/>
          <w:bCs/>
          <w:kern w:val="0"/>
          <w:sz w:val="24"/>
          <w:szCs w:val="28"/>
        </w:rPr>
        <w:t>）</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4. 具备医学检验实验室资质；</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5.能提供菌群移植后专业化患者管理和跟踪服务：</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（1）可提供与菌群移植国家指南与共识制定团队进行远程会诊和咨询的服务；</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（2）可协助院方临床医师进行肠道菌群移植临床培训服务；</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（3）可提供菌群移植治疗过程中的常见并发症的处理流程预案。</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（五）制剂交接运输及交接要求</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1.产品运输要求：必须用干冰冷链运输，在验收时干冰必须完全覆盖产品，不融化</w:t>
      </w:r>
      <w:r>
        <w:rPr>
          <w:rFonts w:hint="eastAsia" w:ascii="仿宋" w:hAnsi="仿宋" w:eastAsia="仿宋" w:cs="宋体"/>
          <w:bCs/>
          <w:sz w:val="24"/>
          <w:szCs w:val="28"/>
        </w:rPr>
        <w:t>（提供服务方机构资质证明）</w:t>
      </w:r>
      <w:r>
        <w:rPr>
          <w:rFonts w:hint="eastAsia" w:ascii="仿宋" w:hAnsi="仿宋" w:eastAsia="仿宋" w:cs="宋体"/>
          <w:bCs/>
          <w:kern w:val="0"/>
          <w:sz w:val="24"/>
          <w:szCs w:val="28"/>
        </w:rPr>
        <w:t>；</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2.规定的时间3-5天内提供符合国家及行业相关标准的菌群制剂。</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（六）责任</w:t>
      </w:r>
    </w:p>
    <w:p>
      <w:pPr>
        <w:adjustRightInd w:val="0"/>
        <w:snapToGrid w:val="0"/>
        <w:spacing w:line="520" w:lineRule="exact"/>
        <w:outlineLvl w:val="1"/>
        <w:rPr>
          <w:rFonts w:ascii="仿宋" w:hAnsi="仿宋" w:eastAsia="仿宋" w:cs="宋体"/>
          <w:bCs/>
          <w:kern w:val="0"/>
          <w:sz w:val="24"/>
          <w:szCs w:val="28"/>
        </w:rPr>
      </w:pPr>
      <w:r>
        <w:rPr>
          <w:rFonts w:hint="eastAsia" w:ascii="仿宋" w:hAnsi="仿宋" w:eastAsia="仿宋" w:cs="宋体"/>
          <w:bCs/>
          <w:kern w:val="0"/>
          <w:sz w:val="24"/>
          <w:szCs w:val="28"/>
        </w:rPr>
        <w:t>经第三方检验机构确认是因为肠菌产品质量造成的不良反应，由供应商承担相应的法律责任并对患者进行经济赔偿。</w:t>
      </w:r>
    </w:p>
    <w:p>
      <w:pPr>
        <w:adjustRightInd w:val="0"/>
        <w:snapToGrid w:val="0"/>
        <w:spacing w:line="520" w:lineRule="exact"/>
        <w:outlineLvl w:val="1"/>
        <w:rPr>
          <w:rFonts w:hint="eastAsia" w:ascii="仿宋" w:hAnsi="仿宋" w:eastAsia="仿宋" w:cs="宋体"/>
          <w:b/>
          <w:sz w:val="24"/>
        </w:rPr>
      </w:pPr>
    </w:p>
    <w:p>
      <w:pPr>
        <w:adjustRightInd w:val="0"/>
        <w:snapToGrid w:val="0"/>
        <w:spacing w:line="520" w:lineRule="exact"/>
        <w:outlineLvl w:val="1"/>
        <w:rPr>
          <w:rFonts w:hint="eastAsia" w:ascii="仿宋" w:hAnsi="仿宋" w:eastAsia="仿宋" w:cs="宋体"/>
          <w:b/>
          <w:sz w:val="24"/>
        </w:rPr>
      </w:pPr>
    </w:p>
    <w:p>
      <w:pPr>
        <w:adjustRightInd w:val="0"/>
        <w:snapToGrid w:val="0"/>
        <w:spacing w:line="520" w:lineRule="exact"/>
        <w:outlineLvl w:val="1"/>
        <w:rPr>
          <w:rFonts w:hint="eastAsia" w:ascii="仿宋" w:hAnsi="仿宋" w:eastAsia="仿宋" w:cs="宋体"/>
          <w:b/>
          <w:sz w:val="24"/>
        </w:rPr>
      </w:pPr>
    </w:p>
    <w:p>
      <w:pPr>
        <w:adjustRightInd w:val="0"/>
        <w:snapToGrid w:val="0"/>
        <w:spacing w:line="520" w:lineRule="exact"/>
        <w:outlineLvl w:val="1"/>
        <w:rPr>
          <w:rFonts w:hint="eastAsia" w:ascii="仿宋" w:hAnsi="仿宋" w:eastAsia="仿宋" w:cs="宋体"/>
          <w:b/>
          <w:sz w:val="24"/>
        </w:rPr>
      </w:pPr>
    </w:p>
    <w:p>
      <w:pPr>
        <w:adjustRightInd w:val="0"/>
        <w:snapToGrid w:val="0"/>
        <w:spacing w:line="520" w:lineRule="exact"/>
        <w:outlineLvl w:val="1"/>
        <w:rPr>
          <w:rFonts w:ascii="仿宋" w:hAnsi="仿宋" w:eastAsia="仿宋" w:cs="宋体"/>
          <w:bCs/>
          <w:kern w:val="0"/>
          <w:sz w:val="24"/>
          <w:szCs w:val="28"/>
        </w:rPr>
      </w:pPr>
    </w:p>
    <w:p>
      <w:pPr>
        <w:rPr>
          <w:rFonts w:ascii="仿宋" w:hAnsi="仿宋" w:eastAsia="仿宋"/>
          <w:color w:val="000000"/>
          <w:sz w:val="24"/>
        </w:rPr>
      </w:pPr>
    </w:p>
    <w:p>
      <w:pPr>
        <w:rPr>
          <w:rFonts w:ascii="仿宋" w:hAnsi="仿宋" w:eastAsia="仿宋"/>
          <w:b/>
          <w:color w:val="000000"/>
          <w:sz w:val="30"/>
          <w:szCs w:val="30"/>
        </w:rPr>
      </w:pPr>
    </w:p>
    <w:p>
      <w:pPr>
        <w:rPr>
          <w:rFonts w:ascii="仿宋" w:hAnsi="仿宋" w:eastAsia="仿宋"/>
          <w:b/>
          <w:color w:val="000000"/>
          <w:sz w:val="30"/>
          <w:szCs w:val="30"/>
        </w:rPr>
      </w:pPr>
    </w:p>
    <w:p>
      <w:pPr>
        <w:rPr>
          <w:rFonts w:ascii="仿宋" w:hAnsi="仿宋" w:eastAsia="仿宋"/>
          <w:color w:val="000000"/>
        </w:rPr>
      </w:pPr>
    </w:p>
    <w:sectPr>
      <w:footerReference r:id="rId5" w:type="default"/>
      <w:pgSz w:w="11906" w:h="16838"/>
      <w:pgMar w:top="1440" w:right="1588" w:bottom="1440" w:left="1588" w:header="851" w:footer="992" w:gutter="0"/>
      <w:pgNumType w:start="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9"/>
      </w:rPr>
    </w:pPr>
    <w:r>
      <w:fldChar w:fldCharType="begin"/>
    </w:r>
    <w:r>
      <w:rPr>
        <w:rStyle w:val="19"/>
      </w:rPr>
      <w:instrText xml:space="preserve">PAGE  </w:instrText>
    </w:r>
    <w:r>
      <w:fldChar w:fldCharType="separate"/>
    </w:r>
    <w:r>
      <w:rPr>
        <w:rStyle w:val="19"/>
      </w:rPr>
      <w:t>37</w:t>
    </w:r>
    <w:r>
      <w:fldChar w:fldCharType="end"/>
    </w:r>
  </w:p>
  <w:p>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wNDc1MWI4YWM2NTNhOGFmMjYxYWIyYzU2MDJlY2MifQ=="/>
  </w:docVars>
  <w:rsids>
    <w:rsidRoot w:val="00172A27"/>
    <w:rsid w:val="00003565"/>
    <w:rsid w:val="00020046"/>
    <w:rsid w:val="00026F5D"/>
    <w:rsid w:val="00042485"/>
    <w:rsid w:val="00045492"/>
    <w:rsid w:val="0005270B"/>
    <w:rsid w:val="00053DC1"/>
    <w:rsid w:val="00070827"/>
    <w:rsid w:val="00074BFD"/>
    <w:rsid w:val="000842A5"/>
    <w:rsid w:val="000845DC"/>
    <w:rsid w:val="000A5E95"/>
    <w:rsid w:val="000A6606"/>
    <w:rsid w:val="000B25C9"/>
    <w:rsid w:val="000B5EF2"/>
    <w:rsid w:val="000C4674"/>
    <w:rsid w:val="000C5197"/>
    <w:rsid w:val="000D01D8"/>
    <w:rsid w:val="000D4AA3"/>
    <w:rsid w:val="000E4565"/>
    <w:rsid w:val="000F076B"/>
    <w:rsid w:val="000F294E"/>
    <w:rsid w:val="0011130B"/>
    <w:rsid w:val="00114CCC"/>
    <w:rsid w:val="00115F2F"/>
    <w:rsid w:val="001425FC"/>
    <w:rsid w:val="0014440B"/>
    <w:rsid w:val="00152E8D"/>
    <w:rsid w:val="00153651"/>
    <w:rsid w:val="001629DE"/>
    <w:rsid w:val="0016396B"/>
    <w:rsid w:val="00172A27"/>
    <w:rsid w:val="00174E23"/>
    <w:rsid w:val="001850D2"/>
    <w:rsid w:val="001A3D8F"/>
    <w:rsid w:val="001C3DEC"/>
    <w:rsid w:val="001C68CE"/>
    <w:rsid w:val="001D3264"/>
    <w:rsid w:val="001F2B57"/>
    <w:rsid w:val="001F4578"/>
    <w:rsid w:val="001F4CEA"/>
    <w:rsid w:val="002013F4"/>
    <w:rsid w:val="0020268D"/>
    <w:rsid w:val="002249AE"/>
    <w:rsid w:val="00240FD2"/>
    <w:rsid w:val="00246B62"/>
    <w:rsid w:val="00265223"/>
    <w:rsid w:val="00266839"/>
    <w:rsid w:val="00276EBC"/>
    <w:rsid w:val="00295811"/>
    <w:rsid w:val="002B0F3A"/>
    <w:rsid w:val="002B1765"/>
    <w:rsid w:val="002D238F"/>
    <w:rsid w:val="002F3120"/>
    <w:rsid w:val="00301DC9"/>
    <w:rsid w:val="00326252"/>
    <w:rsid w:val="00332969"/>
    <w:rsid w:val="0034420A"/>
    <w:rsid w:val="00357340"/>
    <w:rsid w:val="00360693"/>
    <w:rsid w:val="00366181"/>
    <w:rsid w:val="0037003E"/>
    <w:rsid w:val="0038067E"/>
    <w:rsid w:val="003D29CA"/>
    <w:rsid w:val="003E0097"/>
    <w:rsid w:val="003E1F4E"/>
    <w:rsid w:val="003F432C"/>
    <w:rsid w:val="00411C04"/>
    <w:rsid w:val="00417243"/>
    <w:rsid w:val="00423368"/>
    <w:rsid w:val="0043149C"/>
    <w:rsid w:val="00440CBC"/>
    <w:rsid w:val="0044179F"/>
    <w:rsid w:val="004426B6"/>
    <w:rsid w:val="00443D90"/>
    <w:rsid w:val="00444488"/>
    <w:rsid w:val="00445E19"/>
    <w:rsid w:val="00450F00"/>
    <w:rsid w:val="004555ED"/>
    <w:rsid w:val="00456467"/>
    <w:rsid w:val="00460659"/>
    <w:rsid w:val="00461C5E"/>
    <w:rsid w:val="00463668"/>
    <w:rsid w:val="004A3441"/>
    <w:rsid w:val="004C4771"/>
    <w:rsid w:val="004C6667"/>
    <w:rsid w:val="004D24A0"/>
    <w:rsid w:val="004D7B85"/>
    <w:rsid w:val="004E0B7B"/>
    <w:rsid w:val="004E3EFF"/>
    <w:rsid w:val="004F0D10"/>
    <w:rsid w:val="004F2A4C"/>
    <w:rsid w:val="00511BDF"/>
    <w:rsid w:val="00536F43"/>
    <w:rsid w:val="00542BD3"/>
    <w:rsid w:val="00543AAE"/>
    <w:rsid w:val="0054591B"/>
    <w:rsid w:val="0056176F"/>
    <w:rsid w:val="00565D88"/>
    <w:rsid w:val="00572BA2"/>
    <w:rsid w:val="00574B8A"/>
    <w:rsid w:val="00575127"/>
    <w:rsid w:val="0057545F"/>
    <w:rsid w:val="00591B8D"/>
    <w:rsid w:val="00592A48"/>
    <w:rsid w:val="00595A4D"/>
    <w:rsid w:val="005A1F82"/>
    <w:rsid w:val="005B39A8"/>
    <w:rsid w:val="005D06DF"/>
    <w:rsid w:val="005D2164"/>
    <w:rsid w:val="005E2E34"/>
    <w:rsid w:val="005E6C84"/>
    <w:rsid w:val="005F056B"/>
    <w:rsid w:val="006014EA"/>
    <w:rsid w:val="006251ED"/>
    <w:rsid w:val="0063103E"/>
    <w:rsid w:val="006535CD"/>
    <w:rsid w:val="0065428D"/>
    <w:rsid w:val="00661517"/>
    <w:rsid w:val="00667807"/>
    <w:rsid w:val="00667D2B"/>
    <w:rsid w:val="00670825"/>
    <w:rsid w:val="00672CC4"/>
    <w:rsid w:val="0067398D"/>
    <w:rsid w:val="006834E7"/>
    <w:rsid w:val="00683995"/>
    <w:rsid w:val="006906BA"/>
    <w:rsid w:val="006929D2"/>
    <w:rsid w:val="006B3D78"/>
    <w:rsid w:val="006B6E2C"/>
    <w:rsid w:val="006B76B1"/>
    <w:rsid w:val="006C257F"/>
    <w:rsid w:val="006D21B3"/>
    <w:rsid w:val="006E6077"/>
    <w:rsid w:val="006F29C7"/>
    <w:rsid w:val="00720839"/>
    <w:rsid w:val="00725D55"/>
    <w:rsid w:val="00746465"/>
    <w:rsid w:val="0074707D"/>
    <w:rsid w:val="007554B8"/>
    <w:rsid w:val="00755C0D"/>
    <w:rsid w:val="0076073A"/>
    <w:rsid w:val="00765CC2"/>
    <w:rsid w:val="0077492D"/>
    <w:rsid w:val="00781D17"/>
    <w:rsid w:val="00785D1F"/>
    <w:rsid w:val="007A048F"/>
    <w:rsid w:val="007A3859"/>
    <w:rsid w:val="007A5F60"/>
    <w:rsid w:val="007C252F"/>
    <w:rsid w:val="007C2B90"/>
    <w:rsid w:val="007C61D0"/>
    <w:rsid w:val="007E0819"/>
    <w:rsid w:val="007E7175"/>
    <w:rsid w:val="00801178"/>
    <w:rsid w:val="00804F44"/>
    <w:rsid w:val="00807BDB"/>
    <w:rsid w:val="00812E28"/>
    <w:rsid w:val="00813780"/>
    <w:rsid w:val="00814893"/>
    <w:rsid w:val="0083693B"/>
    <w:rsid w:val="00837F08"/>
    <w:rsid w:val="008405B1"/>
    <w:rsid w:val="008436DC"/>
    <w:rsid w:val="00865BC2"/>
    <w:rsid w:val="00877401"/>
    <w:rsid w:val="00877DA1"/>
    <w:rsid w:val="008831E3"/>
    <w:rsid w:val="0089667D"/>
    <w:rsid w:val="008D53AD"/>
    <w:rsid w:val="00900785"/>
    <w:rsid w:val="00911654"/>
    <w:rsid w:val="009328C6"/>
    <w:rsid w:val="0095386A"/>
    <w:rsid w:val="00956562"/>
    <w:rsid w:val="00973D34"/>
    <w:rsid w:val="009840D1"/>
    <w:rsid w:val="009876DB"/>
    <w:rsid w:val="00994326"/>
    <w:rsid w:val="009B3724"/>
    <w:rsid w:val="009B585B"/>
    <w:rsid w:val="009B58E6"/>
    <w:rsid w:val="009C6025"/>
    <w:rsid w:val="009D0B5A"/>
    <w:rsid w:val="009F3D52"/>
    <w:rsid w:val="00A046CC"/>
    <w:rsid w:val="00A05795"/>
    <w:rsid w:val="00A137F3"/>
    <w:rsid w:val="00A273CA"/>
    <w:rsid w:val="00A33666"/>
    <w:rsid w:val="00A41BBE"/>
    <w:rsid w:val="00A5466C"/>
    <w:rsid w:val="00A6716F"/>
    <w:rsid w:val="00A77C26"/>
    <w:rsid w:val="00A90033"/>
    <w:rsid w:val="00AA5117"/>
    <w:rsid w:val="00AA544D"/>
    <w:rsid w:val="00AB1012"/>
    <w:rsid w:val="00AC7CD1"/>
    <w:rsid w:val="00AD3259"/>
    <w:rsid w:val="00AD5B5B"/>
    <w:rsid w:val="00AD69B3"/>
    <w:rsid w:val="00AF420A"/>
    <w:rsid w:val="00B06441"/>
    <w:rsid w:val="00B15C8D"/>
    <w:rsid w:val="00B21094"/>
    <w:rsid w:val="00B23CFF"/>
    <w:rsid w:val="00B33057"/>
    <w:rsid w:val="00B4602D"/>
    <w:rsid w:val="00B71FE0"/>
    <w:rsid w:val="00B87A69"/>
    <w:rsid w:val="00BA0E85"/>
    <w:rsid w:val="00BA3075"/>
    <w:rsid w:val="00BA7047"/>
    <w:rsid w:val="00BB38AD"/>
    <w:rsid w:val="00BB6EAE"/>
    <w:rsid w:val="00BB73BD"/>
    <w:rsid w:val="00BD3E17"/>
    <w:rsid w:val="00BD4A21"/>
    <w:rsid w:val="00BD63DE"/>
    <w:rsid w:val="00BD78AF"/>
    <w:rsid w:val="00BE0E15"/>
    <w:rsid w:val="00BE2816"/>
    <w:rsid w:val="00BF26A0"/>
    <w:rsid w:val="00BF66F0"/>
    <w:rsid w:val="00C262FD"/>
    <w:rsid w:val="00C2742C"/>
    <w:rsid w:val="00C33584"/>
    <w:rsid w:val="00C5059E"/>
    <w:rsid w:val="00C729EC"/>
    <w:rsid w:val="00C8008A"/>
    <w:rsid w:val="00C8226F"/>
    <w:rsid w:val="00C9477E"/>
    <w:rsid w:val="00C971A0"/>
    <w:rsid w:val="00CA79D3"/>
    <w:rsid w:val="00CB08CE"/>
    <w:rsid w:val="00CC428C"/>
    <w:rsid w:val="00CD1123"/>
    <w:rsid w:val="00CD30AB"/>
    <w:rsid w:val="00CE46A2"/>
    <w:rsid w:val="00CE6AFF"/>
    <w:rsid w:val="00D03D41"/>
    <w:rsid w:val="00D1757F"/>
    <w:rsid w:val="00D21BA4"/>
    <w:rsid w:val="00D453CA"/>
    <w:rsid w:val="00D51FE8"/>
    <w:rsid w:val="00D7016E"/>
    <w:rsid w:val="00D807E3"/>
    <w:rsid w:val="00D875EA"/>
    <w:rsid w:val="00D940B2"/>
    <w:rsid w:val="00D94AE5"/>
    <w:rsid w:val="00DA09FD"/>
    <w:rsid w:val="00DA3122"/>
    <w:rsid w:val="00DA509D"/>
    <w:rsid w:val="00DB1C4C"/>
    <w:rsid w:val="00DC1FE4"/>
    <w:rsid w:val="00DE1EF1"/>
    <w:rsid w:val="00DE20FE"/>
    <w:rsid w:val="00DE2CAC"/>
    <w:rsid w:val="00DE772C"/>
    <w:rsid w:val="00DF4E12"/>
    <w:rsid w:val="00DF6059"/>
    <w:rsid w:val="00E11E02"/>
    <w:rsid w:val="00E433AC"/>
    <w:rsid w:val="00E45AD5"/>
    <w:rsid w:val="00E558BD"/>
    <w:rsid w:val="00E55AB8"/>
    <w:rsid w:val="00E667D8"/>
    <w:rsid w:val="00E704C5"/>
    <w:rsid w:val="00E91F67"/>
    <w:rsid w:val="00E974D0"/>
    <w:rsid w:val="00E97DC0"/>
    <w:rsid w:val="00EA030C"/>
    <w:rsid w:val="00EB434A"/>
    <w:rsid w:val="00EB4C55"/>
    <w:rsid w:val="00EB5A1F"/>
    <w:rsid w:val="00EC10F6"/>
    <w:rsid w:val="00EC622B"/>
    <w:rsid w:val="00EC653B"/>
    <w:rsid w:val="00ED08B9"/>
    <w:rsid w:val="00EE38A0"/>
    <w:rsid w:val="00EF0A6C"/>
    <w:rsid w:val="00F00B4A"/>
    <w:rsid w:val="00F029FE"/>
    <w:rsid w:val="00F2543A"/>
    <w:rsid w:val="00F32A9C"/>
    <w:rsid w:val="00F434C4"/>
    <w:rsid w:val="00F50483"/>
    <w:rsid w:val="00F52FB1"/>
    <w:rsid w:val="00F561DC"/>
    <w:rsid w:val="00F77256"/>
    <w:rsid w:val="00F84E0B"/>
    <w:rsid w:val="00F948EB"/>
    <w:rsid w:val="00F96E18"/>
    <w:rsid w:val="00F97D9F"/>
    <w:rsid w:val="00FC3A82"/>
    <w:rsid w:val="00FD3809"/>
    <w:rsid w:val="00FD61EF"/>
    <w:rsid w:val="00FE1795"/>
    <w:rsid w:val="00FF0971"/>
    <w:rsid w:val="00FF3160"/>
    <w:rsid w:val="00FF5437"/>
    <w:rsid w:val="020C500C"/>
    <w:rsid w:val="03935501"/>
    <w:rsid w:val="0487387E"/>
    <w:rsid w:val="06BA455D"/>
    <w:rsid w:val="07577E3D"/>
    <w:rsid w:val="07F8125F"/>
    <w:rsid w:val="09965665"/>
    <w:rsid w:val="0A71787F"/>
    <w:rsid w:val="0A9B7B93"/>
    <w:rsid w:val="0CD8573D"/>
    <w:rsid w:val="0F223307"/>
    <w:rsid w:val="0FCF7576"/>
    <w:rsid w:val="138C608A"/>
    <w:rsid w:val="13C22CA3"/>
    <w:rsid w:val="14333BA0"/>
    <w:rsid w:val="14454CCD"/>
    <w:rsid w:val="169A2CF5"/>
    <w:rsid w:val="177E1450"/>
    <w:rsid w:val="19CD414F"/>
    <w:rsid w:val="19E84841"/>
    <w:rsid w:val="1B5C578B"/>
    <w:rsid w:val="1B7B56E2"/>
    <w:rsid w:val="1C26539F"/>
    <w:rsid w:val="1D1B05C5"/>
    <w:rsid w:val="1D865CE6"/>
    <w:rsid w:val="1E3E561C"/>
    <w:rsid w:val="1E555B6A"/>
    <w:rsid w:val="1F0B1408"/>
    <w:rsid w:val="1F494278"/>
    <w:rsid w:val="20A0399F"/>
    <w:rsid w:val="21082815"/>
    <w:rsid w:val="2196425A"/>
    <w:rsid w:val="21FE759C"/>
    <w:rsid w:val="230961F8"/>
    <w:rsid w:val="232462C0"/>
    <w:rsid w:val="2368508C"/>
    <w:rsid w:val="25CE2925"/>
    <w:rsid w:val="26920BFA"/>
    <w:rsid w:val="289A73D4"/>
    <w:rsid w:val="29243516"/>
    <w:rsid w:val="2A7A0D37"/>
    <w:rsid w:val="2BE442E6"/>
    <w:rsid w:val="2C317072"/>
    <w:rsid w:val="2DBD5426"/>
    <w:rsid w:val="2EED3F2D"/>
    <w:rsid w:val="2F601896"/>
    <w:rsid w:val="305B205D"/>
    <w:rsid w:val="31FB3B56"/>
    <w:rsid w:val="326605FE"/>
    <w:rsid w:val="328A422E"/>
    <w:rsid w:val="333252F7"/>
    <w:rsid w:val="3672369F"/>
    <w:rsid w:val="36C400A0"/>
    <w:rsid w:val="37B2072E"/>
    <w:rsid w:val="37D57F4F"/>
    <w:rsid w:val="38860981"/>
    <w:rsid w:val="3A97439E"/>
    <w:rsid w:val="3C075C82"/>
    <w:rsid w:val="3C583078"/>
    <w:rsid w:val="3C8C7164"/>
    <w:rsid w:val="3FCD102E"/>
    <w:rsid w:val="4034741A"/>
    <w:rsid w:val="40397BE3"/>
    <w:rsid w:val="40B9798B"/>
    <w:rsid w:val="434150E2"/>
    <w:rsid w:val="443B5FD6"/>
    <w:rsid w:val="45B44BF9"/>
    <w:rsid w:val="46A4767C"/>
    <w:rsid w:val="477C775D"/>
    <w:rsid w:val="48FA645F"/>
    <w:rsid w:val="495C2C76"/>
    <w:rsid w:val="49997A26"/>
    <w:rsid w:val="4C9E4134"/>
    <w:rsid w:val="4CD86AB8"/>
    <w:rsid w:val="4D261D90"/>
    <w:rsid w:val="4D720D11"/>
    <w:rsid w:val="4DB67486"/>
    <w:rsid w:val="503E6580"/>
    <w:rsid w:val="514A0838"/>
    <w:rsid w:val="51EE5D81"/>
    <w:rsid w:val="534C76D5"/>
    <w:rsid w:val="556E2DB4"/>
    <w:rsid w:val="557077B8"/>
    <w:rsid w:val="56C50FBE"/>
    <w:rsid w:val="56D408FF"/>
    <w:rsid w:val="57265AD6"/>
    <w:rsid w:val="574A6804"/>
    <w:rsid w:val="57AF5E8D"/>
    <w:rsid w:val="58C927AB"/>
    <w:rsid w:val="58EB7B73"/>
    <w:rsid w:val="5B24211A"/>
    <w:rsid w:val="5BDD23B9"/>
    <w:rsid w:val="5C0E6380"/>
    <w:rsid w:val="5C6B1E9D"/>
    <w:rsid w:val="5CC57186"/>
    <w:rsid w:val="5E5275D3"/>
    <w:rsid w:val="5EA578AF"/>
    <w:rsid w:val="60805044"/>
    <w:rsid w:val="62316F81"/>
    <w:rsid w:val="646738BB"/>
    <w:rsid w:val="64821A66"/>
    <w:rsid w:val="665A4F42"/>
    <w:rsid w:val="67E45EB9"/>
    <w:rsid w:val="68E87C2B"/>
    <w:rsid w:val="69141966"/>
    <w:rsid w:val="6A3E554F"/>
    <w:rsid w:val="6A5C2B8F"/>
    <w:rsid w:val="6B7866A4"/>
    <w:rsid w:val="6BB229B3"/>
    <w:rsid w:val="6D557F48"/>
    <w:rsid w:val="6F123595"/>
    <w:rsid w:val="6FE413A6"/>
    <w:rsid w:val="71C67F0E"/>
    <w:rsid w:val="72EB4ACF"/>
    <w:rsid w:val="735D6344"/>
    <w:rsid w:val="74934EEE"/>
    <w:rsid w:val="7611782F"/>
    <w:rsid w:val="78E63A34"/>
    <w:rsid w:val="79A50196"/>
    <w:rsid w:val="7AE85648"/>
    <w:rsid w:val="7B022DCE"/>
    <w:rsid w:val="7B1C41D0"/>
    <w:rsid w:val="7B594DD6"/>
    <w:rsid w:val="7B694BFB"/>
    <w:rsid w:val="7B6A0B4C"/>
    <w:rsid w:val="7CF24DE2"/>
    <w:rsid w:val="7D1A045E"/>
    <w:rsid w:val="7E142EA9"/>
    <w:rsid w:val="7E861E3E"/>
    <w:rsid w:val="7EB57373"/>
    <w:rsid w:val="7EE12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next w:val="1"/>
    <w:autoRedefine/>
    <w:qFormat/>
    <w:uiPriority w:val="0"/>
    <w:pPr>
      <w:spacing w:before="300" w:after="120" w:line="288" w:lineRule="auto"/>
      <w:outlineLvl w:val="2"/>
    </w:pPr>
    <w:rPr>
      <w:rFonts w:ascii="Arial" w:hAnsi="Arial" w:eastAsia="等线" w:cs="Arial"/>
      <w:b/>
      <w:bCs/>
      <w:sz w:val="30"/>
      <w:szCs w:val="30"/>
      <w:lang w:val="en-US" w:eastAsia="zh-CN" w:bidi="ar-SA"/>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3">
    <w:name w:val="toa heading"/>
    <w:basedOn w:val="1"/>
    <w:next w:val="1"/>
    <w:autoRedefine/>
    <w:qFormat/>
    <w:uiPriority w:val="0"/>
    <w:pPr>
      <w:spacing w:before="120"/>
    </w:pPr>
    <w:rPr>
      <w:rFonts w:ascii="Arial" w:hAnsi="Arial"/>
      <w:sz w:val="24"/>
      <w:szCs w:val="20"/>
    </w:rPr>
  </w:style>
  <w:style w:type="paragraph" w:styleId="4">
    <w:name w:val="annotation text"/>
    <w:basedOn w:val="1"/>
    <w:link w:val="33"/>
    <w:autoRedefine/>
    <w:qFormat/>
    <w:uiPriority w:val="0"/>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ind w:firstLine="640" w:firstLineChars="200"/>
    </w:pPr>
    <w:rPr>
      <w:rFonts w:ascii="楷体_GB2312" w:eastAsia="楷体_GB2312"/>
      <w:sz w:val="32"/>
      <w:szCs w:val="20"/>
    </w:rPr>
  </w:style>
  <w:style w:type="paragraph" w:styleId="7">
    <w:name w:val="Plain Text"/>
    <w:basedOn w:val="1"/>
    <w:link w:val="30"/>
    <w:autoRedefine/>
    <w:qFormat/>
    <w:uiPriority w:val="0"/>
    <w:rPr>
      <w:rFonts w:ascii="宋体" w:hAnsi="Courier New"/>
      <w:szCs w:val="20"/>
    </w:rPr>
  </w:style>
  <w:style w:type="paragraph" w:styleId="8">
    <w:name w:val="Date"/>
    <w:basedOn w:val="1"/>
    <w:next w:val="1"/>
    <w:autoRedefine/>
    <w:qFormat/>
    <w:uiPriority w:val="0"/>
    <w:pPr>
      <w:ind w:left="100" w:leftChars="2500"/>
    </w:pPr>
  </w:style>
  <w:style w:type="paragraph" w:styleId="9">
    <w:name w:val="Balloon Text"/>
    <w:basedOn w:val="1"/>
    <w:link w:val="31"/>
    <w:autoRedefine/>
    <w:qFormat/>
    <w:uiPriority w:val="0"/>
    <w:rPr>
      <w:sz w:val="18"/>
      <w:szCs w:val="18"/>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semiHidden/>
    <w:qFormat/>
    <w:uiPriority w:val="0"/>
    <w:pPr>
      <w:spacing w:line="360" w:lineRule="auto"/>
      <w:jc w:val="left"/>
    </w:pPr>
    <w:rPr>
      <w:rFonts w:ascii="Calibri" w:hAnsi="Calibri"/>
      <w:bCs/>
      <w:caps/>
      <w:szCs w:val="20"/>
    </w:rPr>
  </w:style>
  <w:style w:type="paragraph" w:styleId="13">
    <w:name w:val="toc 2"/>
    <w:basedOn w:val="1"/>
    <w:next w:val="1"/>
    <w:autoRedefine/>
    <w:qFormat/>
    <w:uiPriority w:val="0"/>
    <w:pPr>
      <w:ind w:left="420" w:leftChars="200"/>
    </w:p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4"/>
    <w:next w:val="4"/>
    <w:link w:val="32"/>
    <w:autoRedefine/>
    <w:qFormat/>
    <w:uiPriority w:val="0"/>
    <w:rPr>
      <w:b/>
      <w:bCs/>
    </w:rPr>
  </w:style>
  <w:style w:type="table" w:styleId="17">
    <w:name w:val="Table Grid"/>
    <w:basedOn w:val="16"/>
    <w:autoRedefine/>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autoRedefine/>
    <w:qFormat/>
    <w:uiPriority w:val="0"/>
  </w:style>
  <w:style w:type="character" w:styleId="20">
    <w:name w:val="Hyperlink"/>
    <w:autoRedefine/>
    <w:qFormat/>
    <w:uiPriority w:val="0"/>
    <w:rPr>
      <w:color w:val="0000FF"/>
      <w:u w:val="single"/>
    </w:rPr>
  </w:style>
  <w:style w:type="character" w:styleId="21">
    <w:name w:val="annotation reference"/>
    <w:autoRedefine/>
    <w:qFormat/>
    <w:uiPriority w:val="0"/>
    <w:rPr>
      <w:sz w:val="21"/>
      <w:szCs w:val="21"/>
    </w:rPr>
  </w:style>
  <w:style w:type="paragraph" w:customStyle="1" w:styleId="22">
    <w:name w:val="Char Char1 Char Char Char Char Char Char Char Char Char Char"/>
    <w:basedOn w:val="1"/>
    <w:autoRedefine/>
    <w:qFormat/>
    <w:uiPriority w:val="0"/>
    <w:pPr>
      <w:widowControl/>
      <w:spacing w:line="240" w:lineRule="exact"/>
      <w:jc w:val="left"/>
    </w:pPr>
    <w:rPr>
      <w:rFonts w:ascii="Verdana" w:hAnsi="Verdana" w:eastAsia="仿宋_GB2312"/>
      <w:kern w:val="0"/>
      <w:sz w:val="24"/>
      <w:szCs w:val="20"/>
      <w:lang w:eastAsia="en-US"/>
    </w:rPr>
  </w:style>
  <w:style w:type="paragraph" w:customStyle="1" w:styleId="23">
    <w:name w:val="Char"/>
    <w:basedOn w:val="1"/>
    <w:autoRedefine/>
    <w:qFormat/>
    <w:uiPriority w:val="0"/>
    <w:pPr>
      <w:widowControl/>
      <w:spacing w:line="240" w:lineRule="exact"/>
      <w:jc w:val="left"/>
    </w:pPr>
    <w:rPr>
      <w:rFonts w:ascii="Verdana" w:hAnsi="Verdana"/>
      <w:kern w:val="0"/>
      <w:szCs w:val="20"/>
      <w:lang w:eastAsia="en-US"/>
    </w:rPr>
  </w:style>
  <w:style w:type="paragraph" w:customStyle="1" w:styleId="24">
    <w:name w:val="标书正文1"/>
    <w:basedOn w:val="1"/>
    <w:autoRedefine/>
    <w:qFormat/>
    <w:uiPriority w:val="0"/>
    <w:pPr>
      <w:spacing w:line="360" w:lineRule="exact"/>
      <w:ind w:firstLine="480" w:firstLineChars="200"/>
    </w:pPr>
    <w:rPr>
      <w:rFonts w:ascii="宋体" w:hAnsi="宋体"/>
      <w:sz w:val="24"/>
    </w:rPr>
  </w:style>
  <w:style w:type="paragraph" w:customStyle="1" w:styleId="25">
    <w:name w:val="Char1"/>
    <w:basedOn w:val="1"/>
    <w:autoRedefine/>
    <w:qFormat/>
    <w:uiPriority w:val="0"/>
    <w:rPr>
      <w:rFonts w:ascii="Tahoma" w:hAnsi="Tahoma"/>
      <w:sz w:val="24"/>
      <w:szCs w:val="20"/>
    </w:rPr>
  </w:style>
  <w:style w:type="paragraph" w:customStyle="1" w:styleId="26">
    <w:name w:val="Char Char Char"/>
    <w:basedOn w:val="1"/>
    <w:autoRedefine/>
    <w:qFormat/>
    <w:uiPriority w:val="0"/>
    <w:rPr>
      <w:rFonts w:ascii="Tahoma" w:hAnsi="Tahoma"/>
      <w:sz w:val="24"/>
      <w:szCs w:val="20"/>
    </w:rPr>
  </w:style>
  <w:style w:type="paragraph" w:customStyle="1" w:styleId="27">
    <w:name w:val="Char Char Char Char"/>
    <w:basedOn w:val="1"/>
    <w:autoRedefine/>
    <w:qFormat/>
    <w:uiPriority w:val="0"/>
    <w:pPr>
      <w:widowControl/>
      <w:spacing w:line="240" w:lineRule="exact"/>
      <w:jc w:val="left"/>
    </w:pPr>
    <w:rPr>
      <w:rFonts w:ascii="Verdana" w:hAnsi="Verdana"/>
      <w:kern w:val="0"/>
      <w:szCs w:val="20"/>
      <w:lang w:eastAsia="en-US"/>
    </w:rPr>
  </w:style>
  <w:style w:type="paragraph" w:customStyle="1" w:styleId="28">
    <w:name w:val="Char Char Char1"/>
    <w:basedOn w:val="1"/>
    <w:autoRedefine/>
    <w:qFormat/>
    <w:uiPriority w:val="0"/>
  </w:style>
  <w:style w:type="paragraph" w:customStyle="1" w:styleId="29">
    <w:name w:val="Char Char 字元 字元 字元 Char Char Char Char"/>
    <w:basedOn w:val="1"/>
    <w:autoRedefine/>
    <w:qFormat/>
    <w:uiPriority w:val="0"/>
    <w:pPr>
      <w:adjustRightInd w:val="0"/>
      <w:spacing w:line="360" w:lineRule="auto"/>
    </w:pPr>
  </w:style>
  <w:style w:type="character" w:customStyle="1" w:styleId="30">
    <w:name w:val="纯文本 Char"/>
    <w:link w:val="7"/>
    <w:autoRedefine/>
    <w:qFormat/>
    <w:uiPriority w:val="0"/>
    <w:rPr>
      <w:rFonts w:ascii="宋体" w:hAnsi="Courier New" w:eastAsia="宋体"/>
      <w:kern w:val="2"/>
      <w:sz w:val="21"/>
      <w:lang w:val="en-US" w:eastAsia="zh-CN" w:bidi="ar-SA"/>
    </w:rPr>
  </w:style>
  <w:style w:type="character" w:customStyle="1" w:styleId="31">
    <w:name w:val="批注框文本 Char"/>
    <w:link w:val="9"/>
    <w:autoRedefine/>
    <w:qFormat/>
    <w:uiPriority w:val="0"/>
    <w:rPr>
      <w:kern w:val="2"/>
      <w:sz w:val="18"/>
      <w:szCs w:val="18"/>
    </w:rPr>
  </w:style>
  <w:style w:type="character" w:customStyle="1" w:styleId="32">
    <w:name w:val="批注主题 Char"/>
    <w:link w:val="15"/>
    <w:autoRedefine/>
    <w:qFormat/>
    <w:uiPriority w:val="0"/>
    <w:rPr>
      <w:b/>
      <w:bCs/>
      <w:kern w:val="2"/>
      <w:sz w:val="21"/>
      <w:szCs w:val="24"/>
    </w:rPr>
  </w:style>
  <w:style w:type="character" w:customStyle="1" w:styleId="33">
    <w:name w:val="批注文字 Char"/>
    <w:link w:val="4"/>
    <w:autoRedefine/>
    <w:qFormat/>
    <w:uiPriority w:val="0"/>
    <w:rPr>
      <w:kern w:val="2"/>
      <w:sz w:val="21"/>
      <w:szCs w:val="24"/>
    </w:rPr>
  </w:style>
  <w:style w:type="character" w:customStyle="1" w:styleId="34">
    <w:name w:val="font71"/>
    <w:basedOn w:val="18"/>
    <w:autoRedefine/>
    <w:qFormat/>
    <w:uiPriority w:val="0"/>
    <w:rPr>
      <w:rFonts w:hint="eastAsia" w:ascii="宋体" w:hAnsi="宋体" w:eastAsia="宋体" w:cs="宋体"/>
      <w:b/>
      <w:bCs/>
      <w:i/>
      <w:iCs/>
      <w:color w:val="000000"/>
      <w:sz w:val="20"/>
      <w:szCs w:val="20"/>
      <w:u w:val="none"/>
    </w:rPr>
  </w:style>
  <w:style w:type="character" w:customStyle="1" w:styleId="35">
    <w:name w:val="font81"/>
    <w:basedOn w:val="18"/>
    <w:autoRedefine/>
    <w:qFormat/>
    <w:uiPriority w:val="0"/>
    <w:rPr>
      <w:rFonts w:hint="eastAsia" w:ascii="宋体" w:hAnsi="宋体" w:eastAsia="宋体" w:cs="宋体"/>
      <w:color w:val="00CCFF"/>
      <w:sz w:val="24"/>
      <w:szCs w:val="24"/>
      <w:u w:val="none"/>
    </w:rPr>
  </w:style>
  <w:style w:type="character" w:customStyle="1" w:styleId="36">
    <w:name w:val="font41"/>
    <w:basedOn w:val="18"/>
    <w:autoRedefine/>
    <w:qFormat/>
    <w:uiPriority w:val="0"/>
    <w:rPr>
      <w:rFonts w:hint="eastAsia" w:ascii="宋体" w:hAnsi="宋体" w:eastAsia="宋体" w:cs="宋体"/>
      <w:color w:val="0066CC"/>
      <w:sz w:val="24"/>
      <w:szCs w:val="24"/>
      <w:u w:val="none"/>
    </w:rPr>
  </w:style>
  <w:style w:type="character" w:customStyle="1" w:styleId="37">
    <w:name w:val="font01"/>
    <w:basedOn w:val="18"/>
    <w:autoRedefine/>
    <w:qFormat/>
    <w:uiPriority w:val="0"/>
    <w:rPr>
      <w:rFonts w:hint="eastAsia" w:ascii="宋体" w:hAnsi="宋体" w:eastAsia="宋体" w:cs="宋体"/>
      <w:color w:val="000000"/>
      <w:sz w:val="24"/>
      <w:szCs w:val="24"/>
      <w:u w:val="none"/>
    </w:rPr>
  </w:style>
  <w:style w:type="character" w:customStyle="1" w:styleId="38">
    <w:name w:val="font91"/>
    <w:basedOn w:val="18"/>
    <w:autoRedefine/>
    <w:qFormat/>
    <w:uiPriority w:val="0"/>
    <w:rPr>
      <w:rFonts w:hint="eastAsia" w:ascii="宋体" w:hAnsi="宋体" w:eastAsia="宋体" w:cs="宋体"/>
      <w:b/>
      <w:bCs/>
      <w:color w:val="FF0000"/>
      <w:sz w:val="22"/>
      <w:szCs w:val="22"/>
      <w:u w:val="none"/>
    </w:rPr>
  </w:style>
  <w:style w:type="character" w:customStyle="1" w:styleId="39">
    <w:name w:val="font61"/>
    <w:basedOn w:val="18"/>
    <w:autoRedefine/>
    <w:qFormat/>
    <w:uiPriority w:val="0"/>
    <w:rPr>
      <w:rFonts w:hint="eastAsia" w:ascii="宋体" w:hAnsi="宋体" w:eastAsia="宋体" w:cs="宋体"/>
      <w:color w:val="000000"/>
      <w:sz w:val="20"/>
      <w:szCs w:val="20"/>
      <w:u w:val="none"/>
    </w:rPr>
  </w:style>
  <w:style w:type="paragraph" w:customStyle="1" w:styleId="40">
    <w:name w:val="Default"/>
    <w:autoRedefine/>
    <w:qFormat/>
    <w:uiPriority w:val="0"/>
    <w:pPr>
      <w:widowControl w:val="0"/>
      <w:autoSpaceDE w:val="0"/>
      <w:autoSpaceDN w:val="0"/>
      <w:adjustRightInd w:val="0"/>
      <w:spacing w:after="160" w:line="278" w:lineRule="auto"/>
    </w:pPr>
    <w:rPr>
      <w:rFonts w:ascii="宋体" w:hAnsi="Times New Roman" w:eastAsia="宋体" w:cs="Times New Roman"/>
      <w:color w:val="000000"/>
      <w:sz w:val="24"/>
      <w:szCs w:val="24"/>
      <w:lang w:val="en-US" w:eastAsia="zh-CN" w:bidi="ar-SA"/>
    </w:rPr>
  </w:style>
  <w:style w:type="paragraph" w:customStyle="1" w:styleId="41">
    <w:name w:val="null3"/>
    <w:autoRedefine/>
    <w:hidden/>
    <w:qFormat/>
    <w:uiPriority w:val="0"/>
    <w:pPr>
      <w:spacing w:after="160" w:line="278" w:lineRule="auto"/>
    </w:pPr>
    <w:rPr>
      <w:rFonts w:hint="eastAsia" w:asciiTheme="minorHAnsi" w:hAnsiTheme="minorHAnsi" w:eastAsiaTheme="minorEastAsia" w:cstheme="minorBidi"/>
      <w:lang w:val="en-US" w:eastAsia="zh-Hans" w:bidi="ar-SA"/>
    </w:rPr>
  </w:style>
  <w:style w:type="paragraph" w:customStyle="1" w:styleId="42">
    <w:name w:val="_Style 13"/>
    <w:autoRedefine/>
    <w:qFormat/>
    <w:uiPriority w:val="0"/>
    <w:pPr>
      <w:spacing w:before="120" w:after="120" w:line="288" w:lineRule="auto"/>
    </w:pPr>
    <w:rPr>
      <w:rFonts w:ascii="Arial" w:hAnsi="Arial" w:eastAsia="等线" w:cs="Arial"/>
      <w:sz w:val="22"/>
      <w:szCs w:val="22"/>
      <w:lang w:val="en-US" w:eastAsia="zh-CN" w:bidi="ar-SA"/>
    </w:rPr>
  </w:style>
  <w:style w:type="character" w:customStyle="1" w:styleId="43">
    <w:name w:val="纯文本 字符1"/>
    <w:autoRedefine/>
    <w:qFormat/>
    <w:uiPriority w:val="0"/>
    <w:rPr>
      <w:rFonts w:ascii="宋体" w:hAnsi="Courier New" w:eastAsia="宋体" w:cs="Times New Roman"/>
      <w:szCs w:val="20"/>
    </w:rPr>
  </w:style>
  <w:style w:type="character" w:customStyle="1" w:styleId="44">
    <w:name w:val="NormalCharacter"/>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42</Pages>
  <Words>2681</Words>
  <Characters>15286</Characters>
  <Lines>127</Lines>
  <Paragraphs>35</Paragraphs>
  <TotalTime>53</TotalTime>
  <ScaleCrop>false</ScaleCrop>
  <LinksUpToDate>false</LinksUpToDate>
  <CharactersWithSpaces>17932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2026-06-16T07:24:00Z</dcterms:created>
  <dc:creator>User</dc:creator>
  <cp:lastModifiedBy>Administrator</cp:lastModifiedBy>
  <cp:lastPrinted>2014-12-17T03:28:00Z</cp:lastPrinted>
  <dcterms:modified xsi:type="dcterms:W3CDTF">2026-06-18T06:59:49Z</dcterms:modified>
  <dc:title>昌邑市2013年道路排水工程</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910EBC9CE42949D28F92B96C38658592_13</vt:lpwstr>
  </property>
  <property fmtid="{D5CDD505-2E9C-101B-9397-08002B2CF9AE}" pid="4" name="KSOTemplateDocerSaveRecord">
    <vt:lpwstr>eyJoZGlkIjoiZjk1MzNmMzcxOGM4NTM0MDdlNzczZWEwMzQ2MzM3NWUiLCJ1c2VySWQiOiIyODU4Mzk5ODYifQ==</vt:lpwstr>
  </property>
</Properties>
</file>