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阳光融和医院氧舱压缩空气质量检测仪</w:t>
      </w:r>
      <w:r>
        <w:rPr>
          <w:rFonts w:hint="eastAsia"/>
          <w:sz w:val="36"/>
          <w:szCs w:val="36"/>
          <w:lang w:val="en-US" w:eastAsia="zh-CN"/>
        </w:rPr>
        <w:t>采购</w:t>
      </w:r>
      <w:r>
        <w:rPr>
          <w:rFonts w:hint="eastAsia"/>
          <w:sz w:val="36"/>
          <w:szCs w:val="36"/>
        </w:rPr>
        <w:t>项目投标报名表</w:t>
      </w:r>
      <w:bookmarkStart w:id="0" w:name="_GoBack"/>
      <w:bookmarkEnd w:id="0"/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45A56BCE"/>
    <w:rsid w:val="617321F1"/>
    <w:rsid w:val="6B9F2864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2020-09-22T00:29:31Z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